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705" w:lineRule="atLeast"/>
        <w:ind w:right="0" w:firstLine="1400" w:firstLineChars="500"/>
        <w:rPr>
          <w:rFonts w:hint="eastAsia" w:ascii="仿宋_GB2312" w:hAnsi="Microsoft YaHei" w:eastAsia="仿宋_GB2312" w:cs="仿宋_GB2312"/>
          <w:i w:val="0"/>
          <w:caps w:val="0"/>
          <w:color w:val="6666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Microsoft YaHei" w:eastAsia="仿宋_GB2312" w:cs="仿宋_GB2312"/>
          <w:i w:val="0"/>
          <w:caps w:val="0"/>
          <w:color w:val="666666"/>
          <w:spacing w:val="0"/>
          <w:sz w:val="28"/>
          <w:szCs w:val="28"/>
          <w:shd w:val="clear" w:fill="FFFFFF"/>
          <w:lang w:val="en-US" w:eastAsia="zh-CN"/>
        </w:rPr>
        <w:t>一、省级精品类课程验收结果</w:t>
      </w:r>
    </w:p>
    <w:tbl>
      <w:tblPr>
        <w:tblStyle w:val="5"/>
        <w:tblW w:w="8804" w:type="dxa"/>
        <w:tblInd w:w="-3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157"/>
        <w:gridCol w:w="1535"/>
        <w:gridCol w:w="2804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类别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省级精品资源共享课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沈海晖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中国民间传统手工艺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省级精品资源共享课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苏叶兰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大学英语精读II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省级精品资源共享课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周庆颂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药剂学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省级精品资源共享课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况扬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DV影视制作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省级精品资源共享课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戈琴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vertAlign w:val="baseline"/>
                <w:lang w:eastAsia="zh-CN"/>
              </w:rPr>
              <w:t>通过</w:t>
            </w:r>
          </w:p>
        </w:tc>
      </w:tr>
    </w:tbl>
    <w:p>
      <w:pPr>
        <w:ind w:firstLine="1400" w:firstLineChars="500"/>
        <w:jc w:val="left"/>
      </w:pPr>
      <w:r>
        <w:rPr>
          <w:rFonts w:hint="eastAsia" w:ascii="仿宋_GB2312" w:hAnsi="Microsoft YaHei" w:eastAsia="仿宋_GB2312" w:cs="仿宋_GB2312"/>
          <w:i w:val="0"/>
          <w:caps w:val="0"/>
          <w:color w:val="666666"/>
          <w:spacing w:val="0"/>
          <w:sz w:val="28"/>
          <w:szCs w:val="28"/>
          <w:shd w:val="clear" w:fill="FFFFFF"/>
          <w:lang w:val="en-US" w:eastAsia="zh-CN"/>
        </w:rPr>
        <w:t>二、校级精品类课程验收结果</w:t>
      </w:r>
    </w:p>
    <w:tbl>
      <w:tblPr>
        <w:tblStyle w:val="4"/>
        <w:tblW w:w="8803" w:type="dxa"/>
        <w:tblInd w:w="-4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2169"/>
        <w:gridCol w:w="1569"/>
        <w:gridCol w:w="2769"/>
        <w:gridCol w:w="1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类别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徐珊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药理学</w:t>
            </w:r>
            <w:bookmarkStart w:id="0" w:name="_GoBack"/>
            <w:bookmarkEnd w:id="0"/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朱五福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陈红云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无机及分析化学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胡云根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电路基础理论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周庆颂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工业药剂学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李志强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艾建平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材料力学性能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高级英语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易小杰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大学物理实验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校级精品在线开放课程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周泽华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专业英语阅读及文献检索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梁小军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苏叶兰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大学英语精读Ⅱ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张淑娟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金属热处理原理与工艺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李茂仁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建筑设备工程计算机辅助设计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王军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材料化学专业实验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李艳芳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材料力学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刘晓云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基础英语Ⅰ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罗艺晴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建筑设计初步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白凌云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计算机在材料中的应用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罗珊珊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周泽华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机械设计课程设计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张定方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电子商务概论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校级优质微课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彭燕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不通过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77F20"/>
    <w:rsid w:val="3001630F"/>
    <w:rsid w:val="463D60EA"/>
    <w:rsid w:val="524E631E"/>
    <w:rsid w:val="71077F20"/>
    <w:rsid w:val="7FD4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2018-11-29T03:06:00Z</dcterms:created>
  <dc:creator> ゞ`.a4</dc:creator>
  <cp:lastModifiedBy> ゞ`.a4</cp:lastModifiedBy>
  <dcterms:modified xsi:type="dcterms:W3CDTF">2018-12-06T03:52:56Z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