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关于做好2018年度优质微课申报工作的通知</w:t>
      </w:r>
    </w:p>
    <w:p>
      <w:pPr>
        <w:jc w:val="both"/>
        <w:rPr>
          <w:rFonts w:hint="eastAsia" w:ascii="楷体_GB2312" w:hAnsi="楷体_GB2312" w:eastAsia="楷体_GB2312" w:cs="楷体_GB2312"/>
          <w:sz w:val="28"/>
          <w:szCs w:val="28"/>
          <w:lang w:val="en-US" w:eastAsia="zh-CN"/>
        </w:rPr>
      </w:pPr>
      <w:r>
        <w:rPr>
          <w:rFonts w:hint="eastAsia" w:ascii="楷体_GB2312" w:hAnsi="楷体_GB2312" w:eastAsia="楷体_GB2312" w:cs="楷体_GB2312"/>
          <w:sz w:val="28"/>
          <w:szCs w:val="28"/>
          <w:lang w:val="en-US" w:eastAsia="zh-CN"/>
        </w:rPr>
        <w:t>各学院：</w:t>
      </w:r>
    </w:p>
    <w:p>
      <w:pPr>
        <w:ind w:firstLine="560" w:firstLineChars="200"/>
        <w:jc w:val="both"/>
        <w:rPr>
          <w:rFonts w:hint="eastAsia" w:ascii="楷体_GB2312" w:hAnsi="楷体_GB2312" w:eastAsia="楷体_GB2312" w:cs="楷体_GB2312"/>
          <w:sz w:val="28"/>
          <w:szCs w:val="28"/>
          <w:lang w:val="en-US" w:eastAsia="zh-CN"/>
        </w:rPr>
      </w:pPr>
      <w:r>
        <w:rPr>
          <w:rFonts w:hint="eastAsia" w:ascii="楷体_GB2312" w:hAnsi="楷体_GB2312" w:eastAsia="楷体_GB2312" w:cs="楷体_GB2312"/>
          <w:sz w:val="28"/>
          <w:szCs w:val="28"/>
        </w:rPr>
        <w:t>根据《江西科技师范大学教学质量工程实施意见（2016-2020）》文件精神</w:t>
      </w:r>
      <w:r>
        <w:rPr>
          <w:rFonts w:hint="eastAsia" w:ascii="楷体_GB2312" w:hAnsi="楷体_GB2312" w:eastAsia="楷体_GB2312" w:cs="楷体_GB2312"/>
          <w:sz w:val="28"/>
          <w:szCs w:val="28"/>
          <w:lang w:eastAsia="zh-CN"/>
        </w:rPr>
        <w:t>，</w:t>
      </w:r>
      <w:r>
        <w:rPr>
          <w:rFonts w:hint="eastAsia" w:ascii="楷体_GB2312" w:hAnsi="楷体_GB2312" w:eastAsia="楷体_GB2312" w:cs="楷体_GB2312"/>
          <w:sz w:val="28"/>
          <w:szCs w:val="28"/>
        </w:rPr>
        <w:t>为进一步深化我校教学改革，加快内涵发展，引导教师转变教学理念，强化现代信息技术在教学中的广泛应用，学校</w:t>
      </w:r>
      <w:r>
        <w:rPr>
          <w:rFonts w:hint="eastAsia" w:ascii="楷体_GB2312" w:hAnsi="楷体_GB2312" w:eastAsia="楷体_GB2312" w:cs="楷体_GB2312"/>
          <w:sz w:val="28"/>
          <w:szCs w:val="28"/>
          <w:lang w:eastAsia="zh-CN"/>
        </w:rPr>
        <w:t>鼓励教师以专业课程为重点，建设一批优质微课课程群，以提高教育教学质量。现就</w:t>
      </w:r>
      <w:r>
        <w:rPr>
          <w:rFonts w:hint="eastAsia" w:ascii="楷体_GB2312" w:hAnsi="楷体_GB2312" w:eastAsia="楷体_GB2312" w:cs="楷体_GB2312"/>
          <w:sz w:val="28"/>
          <w:szCs w:val="28"/>
          <w:lang w:val="en-US" w:eastAsia="zh-CN"/>
        </w:rPr>
        <w:t xml:space="preserve">2018年优质微课建设项目立项建设工作有关事项通知如下。   </w:t>
      </w:r>
    </w:p>
    <w:p>
      <w:pPr>
        <w:ind w:firstLine="562" w:firstLineChars="200"/>
        <w:jc w:val="both"/>
        <w:rPr>
          <w:rFonts w:hint="eastAsia" w:ascii="楷体_GB2312" w:hAnsi="楷体_GB2312" w:eastAsia="楷体_GB2312" w:cs="楷体_GB2312"/>
          <w:b/>
          <w:bCs/>
          <w:sz w:val="28"/>
          <w:szCs w:val="28"/>
        </w:rPr>
      </w:pPr>
      <w:r>
        <w:rPr>
          <w:rFonts w:hint="eastAsia" w:ascii="楷体_GB2312" w:hAnsi="楷体_GB2312" w:eastAsia="楷体_GB2312" w:cs="楷体_GB2312"/>
          <w:b/>
          <w:bCs/>
          <w:sz w:val="28"/>
          <w:szCs w:val="28"/>
        </w:rPr>
        <w:t>一、建设要求</w:t>
      </w:r>
    </w:p>
    <w:p>
      <w:pPr>
        <w:ind w:firstLine="560" w:firstLineChars="200"/>
        <w:jc w:val="both"/>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微课是指以视频为主要载体记录教师围绕某个知识点或技能点开展的简短、完整的教学活动</w:t>
      </w:r>
      <w:r>
        <w:rPr>
          <w:rFonts w:hint="eastAsia" w:ascii="楷体_GB2312" w:hAnsi="楷体_GB2312" w:eastAsia="楷体_GB2312" w:cs="楷体_GB2312"/>
          <w:sz w:val="28"/>
          <w:szCs w:val="28"/>
          <w:lang w:eastAsia="zh-CN"/>
        </w:rPr>
        <w:t>。</w:t>
      </w:r>
      <w:r>
        <w:rPr>
          <w:rFonts w:hint="eastAsia" w:ascii="楷体_GB2312" w:hAnsi="楷体_GB2312" w:eastAsia="楷体_GB2312" w:cs="楷体_GB2312"/>
          <w:sz w:val="28"/>
          <w:szCs w:val="28"/>
        </w:rPr>
        <w:t>“微课”的核心内容是课堂教学视频（课例片段），同时还包含与该教学主题相关的教学设计、素材课件、教学反思、练习测试及学生反馈、教师点评等教学支持资源，它们以一定的结构关系和呈现方式共同营造了一个主题突出的资源单元应用环境。</w:t>
      </w:r>
    </w:p>
    <w:p>
      <w:pPr>
        <w:ind w:firstLine="560" w:firstLineChars="200"/>
        <w:jc w:val="both"/>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1.视频要求</w:t>
      </w:r>
    </w:p>
    <w:p>
      <w:pPr>
        <w:ind w:firstLine="560" w:firstLineChars="200"/>
        <w:jc w:val="both"/>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图像清晰稳定、构图合理、声音清楚，能较全面真实反映教学情境。视频片头应显示课程名称、作者和单位，主要教学环节有字幕提示。</w:t>
      </w:r>
      <w:r>
        <w:rPr>
          <w:rFonts w:hint="eastAsia" w:ascii="楷体_GB2312" w:hAnsi="楷体_GB2312" w:eastAsia="楷体_GB2312" w:cs="楷体_GB2312"/>
          <w:sz w:val="28"/>
          <w:szCs w:val="28"/>
          <w:lang w:eastAsia="zh-CN"/>
        </w:rPr>
        <w:t>每门课程要求不少于</w:t>
      </w:r>
      <w:r>
        <w:rPr>
          <w:rFonts w:hint="eastAsia" w:ascii="楷体_GB2312" w:hAnsi="楷体_GB2312" w:eastAsia="楷体_GB2312" w:cs="楷体_GB2312"/>
          <w:sz w:val="28"/>
          <w:szCs w:val="28"/>
          <w:lang w:val="en-US" w:eastAsia="zh-CN"/>
        </w:rPr>
        <w:t>10个单独的章节，</w:t>
      </w:r>
      <w:r>
        <w:rPr>
          <w:rFonts w:hint="eastAsia" w:ascii="楷体_GB2312" w:hAnsi="楷体_GB2312" w:eastAsia="楷体_GB2312" w:cs="楷体_GB2312"/>
          <w:sz w:val="28"/>
          <w:szCs w:val="28"/>
        </w:rPr>
        <w:t>mp4、rmvb、mpg、avi、wmv格式均可</w:t>
      </w:r>
      <w:r>
        <w:rPr>
          <w:rFonts w:hint="eastAsia" w:ascii="楷体_GB2312" w:hAnsi="楷体_GB2312" w:eastAsia="楷体_GB2312" w:cs="楷体_GB2312"/>
          <w:sz w:val="28"/>
          <w:szCs w:val="28"/>
          <w:lang w:eastAsia="zh-CN"/>
        </w:rPr>
        <w:t>。</w:t>
      </w:r>
    </w:p>
    <w:p>
      <w:pPr>
        <w:ind w:firstLine="560" w:firstLineChars="200"/>
        <w:jc w:val="both"/>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2.演示文稿要求</w:t>
      </w:r>
    </w:p>
    <w:p>
      <w:pPr>
        <w:ind w:firstLine="560" w:firstLineChars="200"/>
        <w:jc w:val="both"/>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演示文稿限定为PPT格式。要求围绕教学目标，反映主要教学内容，与教学视频合理搭配。</w:t>
      </w:r>
    </w:p>
    <w:p>
      <w:pPr>
        <w:ind w:firstLine="560" w:firstLineChars="200"/>
        <w:jc w:val="both"/>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3.教学设计要求</w:t>
      </w:r>
    </w:p>
    <w:p>
      <w:pPr>
        <w:ind w:firstLine="560" w:firstLineChars="200"/>
        <w:jc w:val="both"/>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教学设计应反映教师教学思想、课程设计思路和教学特色，包括教学背景、教学目标、教学方法和教学总结等方面内容，并在开头注明讲课内容所属大类专业、专业、课程名称、知识点、技能点名称及适用对象等信息。</w:t>
      </w:r>
    </w:p>
    <w:p>
      <w:pPr>
        <w:numPr>
          <w:ilvl w:val="0"/>
          <w:numId w:val="1"/>
        </w:numPr>
        <w:snapToGrid w:val="0"/>
        <w:spacing w:line="540" w:lineRule="exact"/>
        <w:ind w:firstLine="560"/>
        <w:rPr>
          <w:rFonts w:hint="eastAsia" w:ascii="楷体_GB2312" w:hAnsi="楷体_GB2312" w:eastAsia="楷体_GB2312" w:cs="楷体_GB2312"/>
          <w:b/>
          <w:bCs/>
          <w:i w:val="0"/>
          <w:caps w:val="0"/>
          <w:color w:val="000000"/>
          <w:spacing w:val="0"/>
          <w:kern w:val="0"/>
          <w:sz w:val="28"/>
          <w:szCs w:val="28"/>
          <w:shd w:val="clear" w:fill="FFFFFF"/>
          <w:lang w:val="en-US" w:eastAsia="zh-CN" w:bidi="ar"/>
        </w:rPr>
      </w:pPr>
      <w:r>
        <w:rPr>
          <w:rFonts w:hint="eastAsia" w:ascii="楷体_GB2312" w:hAnsi="楷体_GB2312" w:eastAsia="楷体_GB2312" w:cs="楷体_GB2312"/>
          <w:b/>
          <w:bCs/>
          <w:i w:val="0"/>
          <w:caps w:val="0"/>
          <w:color w:val="000000"/>
          <w:spacing w:val="0"/>
          <w:kern w:val="0"/>
          <w:sz w:val="28"/>
          <w:szCs w:val="28"/>
          <w:shd w:val="clear" w:fill="FFFFFF"/>
          <w:lang w:val="en-US" w:eastAsia="zh-CN" w:bidi="ar"/>
        </w:rPr>
        <w:t>申报评审</w:t>
      </w:r>
    </w:p>
    <w:p>
      <w:pPr>
        <w:numPr>
          <w:ilvl w:val="0"/>
          <w:numId w:val="0"/>
        </w:numPr>
        <w:snapToGrid w:val="0"/>
        <w:spacing w:line="540" w:lineRule="exact"/>
        <w:ind w:firstLine="560"/>
        <w:rPr>
          <w:rFonts w:hint="eastAsia" w:ascii="楷体_GB2312" w:hAnsi="楷体_GB2312" w:eastAsia="楷体_GB2312" w:cs="楷体_GB2312"/>
          <w:color w:val="444444"/>
          <w:kern w:val="0"/>
          <w:sz w:val="30"/>
          <w:szCs w:val="30"/>
          <w:lang w:eastAsia="zh-CN"/>
        </w:rPr>
      </w:pPr>
      <w:r>
        <w:rPr>
          <w:rFonts w:hint="eastAsia" w:ascii="楷体_GB2312" w:hAnsi="楷体_GB2312" w:eastAsia="楷体_GB2312" w:cs="楷体_GB2312"/>
          <w:b w:val="0"/>
          <w:i w:val="0"/>
          <w:caps w:val="0"/>
          <w:color w:val="000000"/>
          <w:spacing w:val="0"/>
          <w:kern w:val="0"/>
          <w:sz w:val="28"/>
          <w:szCs w:val="28"/>
          <w:shd w:val="clear" w:fill="FFFFFF"/>
          <w:lang w:val="en-US" w:eastAsia="zh-CN" w:bidi="ar"/>
        </w:rPr>
        <w:t>1.每年立项100门。其中校级重点20门，校级一般80门。重点项目资助1万，一般项目资助0.5万，</w:t>
      </w:r>
      <w:r>
        <w:rPr>
          <w:rFonts w:hint="eastAsia" w:ascii="楷体_GB2312" w:hAnsi="楷体_GB2312" w:eastAsia="楷体_GB2312" w:cs="楷体_GB2312"/>
          <w:color w:val="444444"/>
          <w:kern w:val="0"/>
          <w:sz w:val="30"/>
          <w:szCs w:val="30"/>
        </w:rPr>
        <w:t>建设期为</w:t>
      </w:r>
      <w:r>
        <w:rPr>
          <w:rFonts w:hint="eastAsia" w:ascii="楷体_GB2312" w:hAnsi="楷体_GB2312" w:eastAsia="楷体_GB2312" w:cs="楷体_GB2312"/>
          <w:color w:val="444444"/>
          <w:kern w:val="0"/>
          <w:sz w:val="30"/>
          <w:szCs w:val="30"/>
          <w:lang w:eastAsia="zh-CN"/>
        </w:rPr>
        <w:t>一年。</w:t>
      </w:r>
    </w:p>
    <w:p>
      <w:pPr>
        <w:numPr>
          <w:ilvl w:val="0"/>
          <w:numId w:val="0"/>
        </w:numPr>
        <w:snapToGrid w:val="0"/>
        <w:spacing w:line="540" w:lineRule="exact"/>
        <w:ind w:firstLine="560"/>
        <w:rPr>
          <w:rFonts w:hint="eastAsia" w:ascii="楷体_GB2312" w:hAnsi="楷体_GB2312" w:eastAsia="楷体_GB2312" w:cs="楷体_GB2312"/>
          <w:color w:val="auto"/>
          <w:kern w:val="0"/>
          <w:sz w:val="30"/>
          <w:szCs w:val="30"/>
          <w:lang w:val="en-US" w:eastAsia="zh-CN"/>
        </w:rPr>
      </w:pPr>
      <w:r>
        <w:rPr>
          <w:rFonts w:hint="eastAsia" w:ascii="楷体_GB2312" w:hAnsi="楷体_GB2312" w:eastAsia="楷体_GB2312" w:cs="楷体_GB2312"/>
          <w:color w:val="auto"/>
          <w:kern w:val="0"/>
          <w:sz w:val="30"/>
          <w:szCs w:val="30"/>
          <w:lang w:val="en-US" w:eastAsia="zh-CN"/>
        </w:rPr>
        <w:t>2.2017年度的项目申报主要集中在药学院、体育学院、外国语学院、法学院、材料学院等学院，其他学院申报的积极性不够。请上年度尚未申报立项的学院必须积极动员相关老师</w:t>
      </w:r>
      <w:bookmarkStart w:id="0" w:name="_GoBack"/>
      <w:bookmarkEnd w:id="0"/>
      <w:r>
        <w:rPr>
          <w:rFonts w:hint="eastAsia" w:ascii="楷体_GB2312" w:hAnsi="楷体_GB2312" w:eastAsia="楷体_GB2312" w:cs="楷体_GB2312"/>
          <w:color w:val="auto"/>
          <w:kern w:val="0"/>
          <w:sz w:val="30"/>
          <w:szCs w:val="30"/>
          <w:lang w:val="en-US" w:eastAsia="zh-CN"/>
        </w:rPr>
        <w:t>申报，已获立项的学院继续组织相关教师积极申报。其中要求拟申报博士点的相关学院，每个学院申报数目不得少于10门；拟申报一流专业的相关专业，每个专业申报数目不得少于2门；其他每个学院申报数目不得少于4门。</w:t>
      </w: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r>
        <w:rPr>
          <w:rFonts w:hint="eastAsia" w:ascii="楷体_GB2312" w:hAnsi="楷体_GB2312" w:eastAsia="楷体_GB2312" w:cs="楷体_GB2312"/>
          <w:b w:val="0"/>
          <w:i w:val="0"/>
          <w:caps w:val="0"/>
          <w:color w:val="000000"/>
          <w:spacing w:val="0"/>
          <w:kern w:val="0"/>
          <w:sz w:val="28"/>
          <w:szCs w:val="28"/>
          <w:shd w:val="clear" w:fill="FFFFFF"/>
          <w:lang w:val="en-US" w:eastAsia="zh-CN" w:bidi="ar"/>
        </w:rPr>
        <w:t>3.申请人请填写《江西科技师范大学优质微课申报书》（附件1），一式三份，请于2018 年3月20日前将申报书和汇总表的纸质和电子稿，学院汇总交至教务处建设科，</w:t>
      </w:r>
      <w:r>
        <w:rPr>
          <w:rFonts w:hint="eastAsia" w:ascii="楷体_GB2312" w:hAnsi="楷体_GB2312" w:eastAsia="楷体_GB2312" w:cs="楷体_GB2312"/>
          <w:color w:val="000000"/>
          <w:sz w:val="28"/>
          <w:szCs w:val="28"/>
          <w:lang w:eastAsia="zh-CN"/>
        </w:rPr>
        <w:t>电子稿发邮箱：</w:t>
      </w:r>
      <w:r>
        <w:rPr>
          <w:rFonts w:hint="eastAsia" w:ascii="楷体_GB2312" w:hAnsi="楷体_GB2312" w:eastAsia="楷体_GB2312" w:cs="楷体_GB2312"/>
          <w:color w:val="000000" w:themeColor="text1"/>
          <w:sz w:val="28"/>
          <w:szCs w:val="28"/>
          <w:u w:val="none"/>
          <w:lang w:val="en-US" w:eastAsia="zh-CN"/>
          <w14:textFill>
            <w14:solidFill>
              <w14:schemeClr w14:val="tx1"/>
            </w14:solidFill>
          </w14:textFill>
        </w:rPr>
        <w:fldChar w:fldCharType="begin"/>
      </w:r>
      <w:r>
        <w:rPr>
          <w:rFonts w:hint="eastAsia" w:ascii="楷体_GB2312" w:hAnsi="楷体_GB2312" w:eastAsia="楷体_GB2312" w:cs="楷体_GB2312"/>
          <w:color w:val="000000" w:themeColor="text1"/>
          <w:sz w:val="28"/>
          <w:szCs w:val="28"/>
          <w:u w:val="none"/>
          <w:lang w:val="en-US" w:eastAsia="zh-CN"/>
          <w14:textFill>
            <w14:solidFill>
              <w14:schemeClr w14:val="tx1"/>
            </w14:solidFill>
          </w14:textFill>
        </w:rPr>
        <w:instrText xml:space="preserve"> HYPERLINK "mailto:3815610@126.com。" </w:instrText>
      </w:r>
      <w:r>
        <w:rPr>
          <w:rFonts w:hint="eastAsia" w:ascii="楷体_GB2312" w:hAnsi="楷体_GB2312" w:eastAsia="楷体_GB2312" w:cs="楷体_GB2312"/>
          <w:color w:val="000000" w:themeColor="text1"/>
          <w:sz w:val="28"/>
          <w:szCs w:val="28"/>
          <w:u w:val="none"/>
          <w:lang w:val="en-US" w:eastAsia="zh-CN"/>
          <w14:textFill>
            <w14:solidFill>
              <w14:schemeClr w14:val="tx1"/>
            </w14:solidFill>
          </w14:textFill>
        </w:rPr>
        <w:fldChar w:fldCharType="separate"/>
      </w:r>
      <w:r>
        <w:rPr>
          <w:rStyle w:val="6"/>
          <w:rFonts w:hint="eastAsia" w:ascii="楷体_GB2312" w:hAnsi="楷体_GB2312" w:eastAsia="楷体_GB2312" w:cs="楷体_GB2312"/>
          <w:color w:val="000000" w:themeColor="text1"/>
          <w:sz w:val="28"/>
          <w:szCs w:val="28"/>
          <w:u w:val="none"/>
          <w:lang w:val="en-US" w:eastAsia="zh-CN"/>
          <w14:textFill>
            <w14:solidFill>
              <w14:schemeClr w14:val="tx1"/>
            </w14:solidFill>
          </w14:textFill>
        </w:rPr>
        <w:t>3815610@163.com</w:t>
      </w:r>
      <w:r>
        <w:rPr>
          <w:rFonts w:hint="eastAsia" w:ascii="楷体_GB2312" w:hAnsi="楷体_GB2312" w:eastAsia="楷体_GB2312" w:cs="楷体_GB2312"/>
          <w:color w:val="000000" w:themeColor="text1"/>
          <w:sz w:val="28"/>
          <w:szCs w:val="28"/>
          <w:u w:val="none"/>
          <w:lang w:val="en-US" w:eastAsia="zh-CN"/>
          <w14:textFill>
            <w14:solidFill>
              <w14:schemeClr w14:val="tx1"/>
            </w14:solidFill>
          </w14:textFill>
        </w:rPr>
        <w:fldChar w:fldCharType="end"/>
      </w:r>
      <w:r>
        <w:rPr>
          <w:rFonts w:hint="eastAsia" w:ascii="楷体_GB2312" w:hAnsi="楷体_GB2312" w:eastAsia="楷体_GB2312" w:cs="楷体_GB2312"/>
          <w:color w:val="000000" w:themeColor="text1"/>
          <w:sz w:val="28"/>
          <w:szCs w:val="28"/>
          <w:u w:val="none"/>
          <w:lang w:val="en-US" w:eastAsia="zh-CN"/>
          <w14:textFill>
            <w14:solidFill>
              <w14:schemeClr w14:val="tx1"/>
            </w14:solidFill>
          </w14:textFill>
        </w:rPr>
        <w:t xml:space="preserve"> </w:t>
      </w:r>
      <w:r>
        <w:rPr>
          <w:rFonts w:hint="eastAsia" w:ascii="楷体_GB2312" w:hAnsi="楷体_GB2312" w:eastAsia="楷体_GB2312" w:cs="楷体_GB2312"/>
          <w:b w:val="0"/>
          <w:i w:val="0"/>
          <w:caps w:val="0"/>
          <w:color w:val="000000"/>
          <w:spacing w:val="0"/>
          <w:kern w:val="0"/>
          <w:sz w:val="28"/>
          <w:szCs w:val="28"/>
          <w:shd w:val="clear" w:fill="FFFFFF"/>
          <w:lang w:val="en-US" w:eastAsia="zh-CN" w:bidi="ar"/>
        </w:rPr>
        <w:t>。</w:t>
      </w: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r>
        <w:rPr>
          <w:rFonts w:hint="eastAsia" w:ascii="楷体_GB2312" w:hAnsi="楷体_GB2312" w:eastAsia="楷体_GB2312" w:cs="楷体_GB2312"/>
          <w:b w:val="0"/>
          <w:i w:val="0"/>
          <w:caps w:val="0"/>
          <w:color w:val="000000"/>
          <w:spacing w:val="0"/>
          <w:kern w:val="0"/>
          <w:sz w:val="28"/>
          <w:szCs w:val="28"/>
          <w:shd w:val="clear" w:fill="FFFFFF"/>
          <w:lang w:val="en-US" w:eastAsia="zh-CN" w:bidi="ar"/>
        </w:rPr>
        <w:t>附件：1.江西科技师范大学优质微课申报书</w:t>
      </w: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r>
        <w:rPr>
          <w:rFonts w:hint="eastAsia" w:ascii="楷体_GB2312" w:hAnsi="楷体_GB2312" w:eastAsia="楷体_GB2312" w:cs="楷体_GB2312"/>
          <w:b w:val="0"/>
          <w:i w:val="0"/>
          <w:caps w:val="0"/>
          <w:color w:val="000000"/>
          <w:spacing w:val="0"/>
          <w:kern w:val="0"/>
          <w:sz w:val="28"/>
          <w:szCs w:val="28"/>
          <w:shd w:val="clear" w:fill="FFFFFF"/>
          <w:lang w:val="en-US" w:eastAsia="zh-CN" w:bidi="ar"/>
        </w:rPr>
        <w:t xml:space="preserve">      2.汇总表</w:t>
      </w: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r>
        <w:rPr>
          <w:rFonts w:hint="eastAsia" w:ascii="楷体_GB2312" w:hAnsi="楷体_GB2312" w:eastAsia="楷体_GB2312" w:cs="楷体_GB2312"/>
          <w:b w:val="0"/>
          <w:i w:val="0"/>
          <w:caps w:val="0"/>
          <w:color w:val="000000"/>
          <w:spacing w:val="0"/>
          <w:kern w:val="0"/>
          <w:sz w:val="28"/>
          <w:szCs w:val="28"/>
          <w:shd w:val="clear" w:fill="FFFFFF"/>
          <w:lang w:val="en-US" w:eastAsia="zh-CN" w:bidi="ar"/>
        </w:rPr>
        <w:t xml:space="preserve">      3.微课评分指标</w:t>
      </w: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r>
        <w:rPr>
          <w:rFonts w:hint="eastAsia" w:ascii="楷体_GB2312" w:hAnsi="楷体_GB2312" w:eastAsia="楷体_GB2312" w:cs="楷体_GB2312"/>
          <w:b w:val="0"/>
          <w:i w:val="0"/>
          <w:caps w:val="0"/>
          <w:color w:val="000000"/>
          <w:spacing w:val="0"/>
          <w:kern w:val="0"/>
          <w:sz w:val="28"/>
          <w:szCs w:val="28"/>
          <w:shd w:val="clear" w:fill="FFFFFF"/>
          <w:lang w:val="en-US" w:eastAsia="zh-CN" w:bidi="ar"/>
        </w:rPr>
        <w:t xml:space="preserve">                                        教务处</w:t>
      </w: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r>
        <w:rPr>
          <w:rFonts w:hint="eastAsia" w:ascii="楷体_GB2312" w:hAnsi="楷体_GB2312" w:eastAsia="楷体_GB2312" w:cs="楷体_GB2312"/>
          <w:b w:val="0"/>
          <w:i w:val="0"/>
          <w:caps w:val="0"/>
          <w:color w:val="000000"/>
          <w:spacing w:val="0"/>
          <w:kern w:val="0"/>
          <w:sz w:val="28"/>
          <w:szCs w:val="28"/>
          <w:shd w:val="clear" w:fill="FFFFFF"/>
          <w:lang w:val="en-US" w:eastAsia="zh-CN" w:bidi="ar"/>
        </w:rPr>
        <w:t xml:space="preserve">                                   2018年 1 月 17 日</w:t>
      </w:r>
    </w:p>
    <w:p>
      <w:pPr>
        <w:numPr>
          <w:ilvl w:val="0"/>
          <w:numId w:val="0"/>
        </w:numPr>
        <w:snapToGrid w:val="0"/>
        <w:spacing w:line="540" w:lineRule="exact"/>
        <w:ind w:firstLine="560"/>
        <w:rPr>
          <w:rFonts w:hint="eastAsia" w:ascii="楷体_GB2312" w:hAnsi="楷体_GB2312" w:eastAsia="楷体_GB2312" w:cs="楷体_GB2312"/>
          <w:b w:val="0"/>
          <w:i w:val="0"/>
          <w:caps w:val="0"/>
          <w:color w:val="000000"/>
          <w:spacing w:val="0"/>
          <w:kern w:val="0"/>
          <w:sz w:val="28"/>
          <w:szCs w:val="28"/>
          <w:shd w:val="clear" w:fill="FFFFFF"/>
          <w:lang w:val="en-US" w:eastAsia="zh-CN" w:bidi="ar"/>
        </w:rPr>
      </w:pPr>
    </w:p>
    <w:p>
      <w:pPr>
        <w:ind w:firstLine="600" w:firstLineChars="200"/>
        <w:jc w:val="both"/>
        <w:rPr>
          <w:rFonts w:hint="eastAsia" w:ascii="楷体_GB2312" w:hAnsi="楷体_GB2312" w:eastAsia="楷体_GB2312" w:cs="楷体_GB2312"/>
          <w:color w:val="444444"/>
          <w:kern w:val="0"/>
          <w:sz w:val="30"/>
          <w:szCs w:val="30"/>
          <w:lang w:val="en-US" w:eastAsia="zh-CN"/>
        </w:rPr>
      </w:pPr>
    </w:p>
    <w:p>
      <w:pPr>
        <w:ind w:firstLine="600" w:firstLineChars="200"/>
        <w:jc w:val="both"/>
        <w:rPr>
          <w:rFonts w:hint="eastAsia" w:ascii="楷体_GB2312" w:hAnsi="楷体_GB2312" w:eastAsia="楷体_GB2312" w:cs="楷体_GB2312"/>
          <w:color w:val="444444"/>
          <w:kern w:val="0"/>
          <w:sz w:val="30"/>
          <w:szCs w:val="30"/>
          <w:lang w:val="en-US" w:eastAsia="zh-CN"/>
        </w:rPr>
      </w:pPr>
    </w:p>
    <w:p>
      <w:pPr>
        <w:widowControl/>
        <w:snapToGrid w:val="0"/>
        <w:spacing w:line="360" w:lineRule="auto"/>
        <w:rPr>
          <w:rFonts w:hint="eastAsia" w:ascii="黑体" w:hAnsi="黑体" w:eastAsia="黑体" w:cs="宋体"/>
          <w:bCs/>
          <w:kern w:val="0"/>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libri Light">
    <w:altName w:val="Calibri"/>
    <w:panose1 w:val="020F0302020204030204"/>
    <w:charset w:val="00"/>
    <w:family w:val="swiss"/>
    <w:pitch w:val="default"/>
    <w:sig w:usb0="00000000" w:usb1="00000000" w:usb2="00000000" w:usb3="00000000" w:csb0="2000019F" w:csb1="00000000"/>
  </w:font>
  <w:font w:name="楷体">
    <w:altName w:val="楷体_GB2312"/>
    <w:panose1 w:val="02010609060101010101"/>
    <w:charset w:val="86"/>
    <w:family w:val="auto"/>
    <w:pitch w:val="default"/>
    <w:sig w:usb0="00000000" w:usb1="00000000" w:usb2="00000016" w:usb3="00000000" w:csb0="00040001" w:csb1="00000000"/>
  </w:font>
  <w:font w:name="@宋体">
    <w:panose1 w:val="02010600030101010101"/>
    <w:charset w:val="86"/>
    <w:family w:val="auto"/>
    <w:pitch w:val="default"/>
    <w:sig w:usb0="00000003" w:usb1="080E0000" w:usb2="00000000" w:usb3="00000000" w:csb0="00040001" w:csb1="00000000"/>
  </w:font>
  <w:font w:name="@黑体">
    <w:panose1 w:val="02010600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Courier New">
    <w:panose1 w:val="02070309020205020404"/>
    <w:charset w:val="00"/>
    <w:family w:val="modern"/>
    <w:pitch w:val="default"/>
    <w:sig w:usb0="00007A87" w:usb1="80000000" w:usb2="00000008" w:usb3="00000000" w:csb0="400001FF" w:csb1="FFFF0000"/>
  </w:font>
  <w:font w:name="方正小标宋_GBK">
    <w:altName w:val="宋体"/>
    <w:panose1 w:val="00000000000000000000"/>
    <w:charset w:val="86"/>
    <w:family w:val="script"/>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华文仿宋">
    <w:altName w:val="仿宋_GB2312"/>
    <w:panose1 w:val="02010600040101010101"/>
    <w:charset w:val="86"/>
    <w:family w:val="auto"/>
    <w:pitch w:val="default"/>
    <w:sig w:usb0="00000000" w:usb1="00000000" w:usb2="00000010" w:usb3="00000000" w:csb0="0004009F" w:csb1="00000000"/>
  </w:font>
  <w:font w:name="华文仿宋">
    <w:altName w:val="仿宋_GB2312"/>
    <w:panose1 w:val="00000000000000000000"/>
    <w:charset w:val="00"/>
    <w:family w:val="auto"/>
    <w:pitch w:val="default"/>
    <w:sig w:usb0="00000000" w:usb1="00000000" w:usb2="00000000" w:usb3="00000000" w:csb0="00000000" w:csb1="00000000"/>
  </w:font>
  <w:font w:name="微软雅黑">
    <w:altName w:val="黑体"/>
    <w:panose1 w:val="020B0503020204020204"/>
    <w:charset w:val="86"/>
    <w:family w:val="auto"/>
    <w:pitch w:val="default"/>
    <w:sig w:usb0="00000000" w:usb1="00000000" w:usb2="00000016" w:usb3="00000000" w:csb0="0004001F" w:csb1="00000000"/>
  </w:font>
  <w:font w:name="Arial">
    <w:panose1 w:val="020B0604020202020204"/>
    <w:charset w:val="00"/>
    <w:family w:val="auto"/>
    <w:pitch w:val="default"/>
    <w:sig w:usb0="00007A87" w:usb1="80000000" w:usb2="00000008" w:usb3="00000000" w:csb0="400001FF" w:csb1="FFFF0000"/>
  </w:font>
  <w:font w:name="Verdana">
    <w:panose1 w:val="020B0604030504040204"/>
    <w:charset w:val="00"/>
    <w:family w:val="swiss"/>
    <w:pitch w:val="default"/>
    <w:sig w:usb0="00000287" w:usb1="00000000" w:usb2="00000000" w:usb3="00000000" w:csb0="2000019F" w:csb1="00000000"/>
  </w:font>
  <w:font w:name="Tahoma">
    <w:panose1 w:val="020B0604030504040204"/>
    <w:charset w:val="00"/>
    <w:family w:val="swiss"/>
    <w:pitch w:val="default"/>
    <w:sig w:usb0="61007A87" w:usb1="80000000" w:usb2="00000008"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
    <w:altName w:val="Times New Roman"/>
    <w:panose1 w:val="00000000000000000000"/>
    <w:charset w:val="00"/>
    <w:family w:val="roman"/>
    <w:pitch w:val="default"/>
    <w:sig w:usb0="00000000" w:usb1="00000000" w:usb2="00000000" w:usb3="00000000" w:csb0="00040001" w:csb1="00000000"/>
  </w:font>
  <w:font w:name="微软雅黑">
    <w:altName w:val="黑体"/>
    <w:panose1 w:val="00000000000000000000"/>
    <w:charset w:val="00"/>
    <w:family w:val="auto"/>
    <w:pitch w:val="default"/>
    <w:sig w:usb0="00000000" w:usb1="00000000" w:usb2="00000000" w:usb3="00000000" w:csb0="00000000" w:csb1="00000000"/>
  </w:font>
  <w:font w:name="仿宋">
    <w:altName w:val="宋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E76D2"/>
    <w:multiLevelType w:val="singleLevel"/>
    <w:tmpl w:val="5A0E76D2"/>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B664D5"/>
    <w:rsid w:val="0A931D87"/>
    <w:rsid w:val="139041BD"/>
    <w:rsid w:val="1A9C74E8"/>
    <w:rsid w:val="1BB3551D"/>
    <w:rsid w:val="22BE2B4B"/>
    <w:rsid w:val="361A5042"/>
    <w:rsid w:val="3A0203D6"/>
    <w:rsid w:val="3FC07B29"/>
    <w:rsid w:val="417240B2"/>
    <w:rsid w:val="4519486E"/>
    <w:rsid w:val="4BF47A48"/>
    <w:rsid w:val="4E5A01B6"/>
    <w:rsid w:val="4F313108"/>
    <w:rsid w:val="517B450B"/>
    <w:rsid w:val="528D330C"/>
    <w:rsid w:val="61D06654"/>
    <w:rsid w:val="66825DE8"/>
    <w:rsid w:val="72B664D5"/>
    <w:rsid w:val="73027EDB"/>
    <w:rsid w:val="752B41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page number"/>
    <w:basedOn w:val="4"/>
    <w:qFormat/>
    <w:uiPriority w:val="0"/>
  </w:style>
  <w:style w:type="character" w:styleId="6">
    <w:name w:val="Hyperlink"/>
    <w:basedOn w:val="4"/>
    <w:qFormat/>
    <w:uiPriority w:val="0"/>
    <w:rPr>
      <w:color w:val="0563C1"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2017-11-08T07:53:00Z</dcterms:created>
  <dc:creator>Administrator</dc:creator>
  <cp:lastModifiedBy>Administrator</cp:lastModifiedBy>
  <cp:lastPrinted>2017-11-21T03:11:00Z</cp:lastPrinted>
  <dcterms:modified xsi:type="dcterms:W3CDTF">2018-01-17T03:21:16Z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