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FC3501">
      <w:pPr>
        <w:pStyle w:val="4"/>
        <w:keepNext w:val="0"/>
        <w:keepLines w:val="0"/>
        <w:pageBreakBefore w:val="0"/>
        <w:widowControl/>
        <w:kinsoku/>
        <w:wordWrap/>
        <w:overflowPunct/>
        <w:topLinePunct w:val="0"/>
        <w:autoSpaceDE/>
        <w:autoSpaceDN/>
        <w:bidi w:val="0"/>
        <w:adjustRightInd w:val="0"/>
        <w:snapToGrid w:val="0"/>
        <w:spacing w:beforeAutospacing="0" w:afterAutospacing="0" w:line="240" w:lineRule="auto"/>
        <w:ind w:left="369"/>
        <w:jc w:val="center"/>
        <w:textAlignment w:val="auto"/>
        <w:rPr>
          <w:rFonts w:ascii="Times New Roman" w:hAnsi="Times New Roman"/>
          <w:sz w:val="44"/>
          <w:szCs w:val="44"/>
        </w:rPr>
      </w:pPr>
      <w:r>
        <w:rPr>
          <w:rStyle w:val="7"/>
          <w:rFonts w:hint="eastAsia" w:ascii="Times New Roman" w:hAnsi="Times New Roman" w:eastAsia="方正小标宋简体"/>
          <w:sz w:val="44"/>
          <w:szCs w:val="44"/>
        </w:rPr>
        <w:t>核药</w:t>
      </w:r>
      <w:r>
        <w:rPr>
          <w:rStyle w:val="7"/>
          <w:rFonts w:ascii="Times New Roman" w:hAnsi="Times New Roman" w:eastAsia="方正小标宋简体"/>
          <w:sz w:val="44"/>
          <w:szCs w:val="44"/>
        </w:rPr>
        <w:t>微专业人才培养方案</w:t>
      </w:r>
      <w:bookmarkStart w:id="1" w:name="_GoBack"/>
      <w:bookmarkEnd w:id="1"/>
    </w:p>
    <w:p w14:paraId="6D3E0707">
      <w:pPr>
        <w:pStyle w:val="4"/>
        <w:keepNext w:val="0"/>
        <w:keepLines w:val="0"/>
        <w:pageBreakBefore w:val="0"/>
        <w:widowControl/>
        <w:numPr>
          <w:ilvl w:val="0"/>
          <w:numId w:val="1"/>
        </w:numPr>
        <w:kinsoku/>
        <w:wordWrap/>
        <w:overflowPunct/>
        <w:topLinePunct w:val="0"/>
        <w:autoSpaceDE/>
        <w:autoSpaceDN/>
        <w:bidi w:val="0"/>
        <w:adjustRightInd w:val="0"/>
        <w:snapToGrid w:val="0"/>
        <w:spacing w:before="300" w:beforeAutospacing="0" w:after="300" w:afterAutospacing="0" w:line="240" w:lineRule="auto"/>
        <w:ind w:firstLine="928" w:firstLineChars="29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专业简介</w:t>
      </w:r>
    </w:p>
    <w:p w14:paraId="46240FEF">
      <w:pPr>
        <w:pStyle w:val="4"/>
        <w:keepNext w:val="0"/>
        <w:keepLines w:val="0"/>
        <w:pageBreakBefore w:val="0"/>
        <w:widowControl/>
        <w:numPr>
          <w:numId w:val="0"/>
        </w:numPr>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随着全球医疗健康产业的快速发展，核药作为精准医疗的重要组成部分，其研发与应用日益受到重视。然而，自主原创性核药与核医药人才缺乏严重阻碍我国核医药产业的发展。本专业依托江西核药产业学院构建的四位一体综合性平台，立足核医药发展对人才的需求，围绕核药产业与高等教育的深度融合，充分发挥我校学科综合优势，在学生原有专业基础上叠加放射性化学、核医学、核药学基本理论和基础知识，培养学生对核辐射防护与安全意识，以核药研发实例及实践为中心，构建基础和应用相融合的课程体系，为核药自主创新培养复合型核药研究和应用人才。</w:t>
      </w:r>
    </w:p>
    <w:p w14:paraId="2CC49FE8">
      <w:pPr>
        <w:pStyle w:val="4"/>
        <w:keepNext w:val="0"/>
        <w:keepLines w:val="0"/>
        <w:pageBreakBefore w:val="0"/>
        <w:widowControl/>
        <w:numPr>
          <w:ilvl w:val="0"/>
          <w:numId w:val="1"/>
        </w:numPr>
        <w:kinsoku/>
        <w:wordWrap/>
        <w:overflowPunct/>
        <w:topLinePunct w:val="0"/>
        <w:autoSpaceDE/>
        <w:autoSpaceDN/>
        <w:bidi w:val="0"/>
        <w:adjustRightInd w:val="0"/>
        <w:snapToGrid w:val="0"/>
        <w:spacing w:before="300" w:beforeAutospacing="0" w:after="300" w:afterAutospacing="0" w:line="240" w:lineRule="auto"/>
        <w:ind w:firstLine="928" w:firstLineChars="29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培养目标</w:t>
      </w:r>
    </w:p>
    <w:p w14:paraId="49B9BD6F">
      <w:pPr>
        <w:pStyle w:val="4"/>
        <w:keepNext w:val="0"/>
        <w:keepLines w:val="0"/>
        <w:pageBreakBefore w:val="0"/>
        <w:widowControl/>
        <w:kinsoku/>
        <w:wordWrap/>
        <w:overflowPunct/>
        <w:topLinePunct w:val="0"/>
        <w:autoSpaceDE/>
        <w:autoSpaceDN/>
        <w:bidi w:val="0"/>
        <w:adjustRightInd w:val="0"/>
        <w:snapToGrid w:val="0"/>
        <w:spacing w:before="392" w:beforeAutospacing="0" w:after="392" w:afterAutospacing="0" w:line="240" w:lineRule="auto"/>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本微专业根据我国核药学自主创新发展的需要，致力于培养具有坚实的核医学与核药学基本理论、基本知识和基本素养，掌握核药研究和应用的基本技能和方法，具有一定的创新意识和社会适应能力，能在核医学应用、核药学研究等领域从事研究和应用的跨学科复合型人才。</w:t>
      </w:r>
    </w:p>
    <w:p w14:paraId="08E566DE">
      <w:pPr>
        <w:pStyle w:val="4"/>
        <w:keepNext w:val="0"/>
        <w:keepLines w:val="0"/>
        <w:pageBreakBefore w:val="0"/>
        <w:widowControl/>
        <w:numPr>
          <w:ilvl w:val="0"/>
          <w:numId w:val="2"/>
        </w:numPr>
        <w:kinsoku/>
        <w:wordWrap/>
        <w:overflowPunct/>
        <w:topLinePunct w:val="0"/>
        <w:autoSpaceDE/>
        <w:autoSpaceDN/>
        <w:bidi w:val="0"/>
        <w:adjustRightInd w:val="0"/>
        <w:snapToGrid w:val="0"/>
        <w:spacing w:before="300" w:beforeAutospacing="0" w:after="300" w:afterAutospacing="0" w:line="240" w:lineRule="auto"/>
        <w:ind w:firstLine="928" w:firstLineChars="290"/>
        <w:textAlignment w:val="auto"/>
        <w:rPr>
          <w:rFonts w:hint="eastAsia" w:ascii="黑体" w:hAnsi="黑体" w:eastAsia="黑体" w:cs="黑体"/>
          <w:b w:val="0"/>
          <w:bCs w:val="0"/>
          <w:sz w:val="32"/>
          <w:szCs w:val="32"/>
        </w:rPr>
      </w:pPr>
      <w:bookmarkStart w:id="0" w:name="OLE_LINK1"/>
      <w:bookmarkEnd w:id="0"/>
      <w:r>
        <w:rPr>
          <w:rFonts w:hint="eastAsia" w:ascii="黑体" w:hAnsi="黑体" w:eastAsia="黑体" w:cs="黑体"/>
          <w:b w:val="0"/>
          <w:bCs w:val="0"/>
          <w:sz w:val="32"/>
          <w:szCs w:val="32"/>
        </w:rPr>
        <w:t>毕业要求</w:t>
      </w:r>
    </w:p>
    <w:p w14:paraId="076E477A">
      <w:pPr>
        <w:pStyle w:val="4"/>
        <w:keepNext w:val="0"/>
        <w:keepLines w:val="0"/>
        <w:pageBreakBefore w:val="0"/>
        <w:widowControl/>
        <w:numPr>
          <w:numId w:val="0"/>
        </w:numPr>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毕业生应获得以下几方面的知识、能力和素质：</w:t>
      </w:r>
    </w:p>
    <w:p w14:paraId="64F14225">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3" w:firstLineChars="200"/>
        <w:textAlignment w:val="auto"/>
        <w:rPr>
          <w:rFonts w:hint="eastAsia" w:ascii="仿宋" w:hAnsi="仿宋" w:eastAsia="仿宋" w:cs="仿宋"/>
          <w:sz w:val="32"/>
          <w:szCs w:val="32"/>
        </w:rPr>
      </w:pPr>
      <w:r>
        <w:rPr>
          <w:rStyle w:val="7"/>
          <w:rFonts w:hint="eastAsia" w:ascii="仿宋" w:hAnsi="仿宋" w:eastAsia="仿宋" w:cs="仿宋"/>
          <w:sz w:val="32"/>
          <w:szCs w:val="32"/>
          <w:shd w:val="clear" w:color="auto" w:fill="FFFFFF"/>
        </w:rPr>
        <w:t>1.思想品德与修养</w:t>
      </w:r>
    </w:p>
    <w:p w14:paraId="6ED720E4">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具备良好的思想道德修养和专业素养，遵守社会道德规范，树立正确的人生观和价值观；</w:t>
      </w:r>
    </w:p>
    <w:p w14:paraId="29C7BF47">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3" w:firstLineChars="200"/>
        <w:textAlignment w:val="auto"/>
        <w:rPr>
          <w:rFonts w:hint="eastAsia" w:ascii="仿宋" w:hAnsi="仿宋" w:eastAsia="仿宋" w:cs="仿宋"/>
          <w:sz w:val="32"/>
          <w:szCs w:val="32"/>
        </w:rPr>
      </w:pPr>
      <w:r>
        <w:rPr>
          <w:rStyle w:val="7"/>
          <w:rFonts w:hint="eastAsia" w:ascii="仿宋" w:hAnsi="仿宋" w:eastAsia="仿宋" w:cs="仿宋"/>
          <w:sz w:val="32"/>
          <w:szCs w:val="32"/>
          <w:shd w:val="clear" w:color="auto" w:fill="FFFFFF"/>
        </w:rPr>
        <w:t>2.基本知识与能力</w:t>
      </w:r>
    </w:p>
    <w:p w14:paraId="364BDC43">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掌握放射化学、核医学与核药学的基础知识和基本理论，了解当前核药学最新研究成果和行业发展动态；</w:t>
      </w:r>
    </w:p>
    <w:p w14:paraId="1285056B">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3" w:firstLineChars="200"/>
        <w:textAlignment w:val="auto"/>
        <w:rPr>
          <w:rFonts w:hint="eastAsia" w:ascii="仿宋" w:hAnsi="仿宋" w:eastAsia="仿宋" w:cs="仿宋"/>
          <w:sz w:val="32"/>
          <w:szCs w:val="32"/>
        </w:rPr>
      </w:pPr>
      <w:r>
        <w:rPr>
          <w:rStyle w:val="7"/>
          <w:rFonts w:hint="eastAsia" w:ascii="仿宋" w:hAnsi="仿宋" w:eastAsia="仿宋" w:cs="仿宋"/>
          <w:sz w:val="32"/>
          <w:szCs w:val="32"/>
          <w:shd w:val="clear" w:color="auto" w:fill="FFFFFF"/>
        </w:rPr>
        <w:t>3.专业知识与能力</w:t>
      </w:r>
    </w:p>
    <w:p w14:paraId="064F4977">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具备从事核医学和核药学研究和应用基本知识和实践能力；</w:t>
      </w:r>
    </w:p>
    <w:p w14:paraId="601DDAF0">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3" w:firstLineChars="200"/>
        <w:textAlignment w:val="auto"/>
        <w:rPr>
          <w:rFonts w:hint="eastAsia" w:ascii="仿宋" w:hAnsi="仿宋" w:eastAsia="仿宋" w:cs="仿宋"/>
          <w:sz w:val="32"/>
          <w:szCs w:val="32"/>
        </w:rPr>
      </w:pPr>
      <w:r>
        <w:rPr>
          <w:rStyle w:val="7"/>
          <w:rFonts w:hint="eastAsia" w:ascii="仿宋" w:hAnsi="仿宋" w:eastAsia="仿宋" w:cs="仿宋"/>
          <w:sz w:val="32"/>
          <w:szCs w:val="32"/>
          <w:shd w:val="clear" w:color="auto" w:fill="FFFFFF"/>
        </w:rPr>
        <w:t>4.文化素质与发展潜力</w:t>
      </w:r>
    </w:p>
    <w:p w14:paraId="6C6D298B">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具备良好的文化修养，具有较好的创新思维能力，以及较强的社会交往和人际沟通能力。</w:t>
      </w:r>
    </w:p>
    <w:p w14:paraId="705A7B7A">
      <w:pPr>
        <w:pStyle w:val="4"/>
        <w:keepNext w:val="0"/>
        <w:keepLines w:val="0"/>
        <w:pageBreakBefore w:val="0"/>
        <w:widowControl/>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四、招生对象与条件</w:t>
      </w:r>
    </w:p>
    <w:p w14:paraId="5C6F5E81">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1．江西科技师范大学药学</w:t>
      </w:r>
      <w:r>
        <w:rPr>
          <w:rFonts w:hint="eastAsia" w:ascii="仿宋" w:hAnsi="仿宋" w:eastAsia="仿宋" w:cs="仿宋"/>
          <w:sz w:val="32"/>
          <w:szCs w:val="32"/>
          <w:shd w:val="clear" w:color="auto" w:fill="FFFFFF"/>
          <w:lang w:val="en-US" w:eastAsia="zh-CN"/>
        </w:rPr>
        <w:t>院</w:t>
      </w:r>
      <w:r>
        <w:rPr>
          <w:rFonts w:hint="eastAsia" w:ascii="仿宋" w:hAnsi="仿宋" w:eastAsia="仿宋" w:cs="仿宋"/>
          <w:sz w:val="32"/>
          <w:szCs w:val="32"/>
          <w:shd w:val="clear" w:color="auto" w:fill="FFFFFF"/>
        </w:rPr>
        <w:t>、化学化工学院、生命科学学院大二及以上年级全日制本科生；</w:t>
      </w:r>
    </w:p>
    <w:p w14:paraId="4B77EDFB">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2．热爱祖国，关心国家大事，具有良好的思想品德和政治素质；</w:t>
      </w:r>
    </w:p>
    <w:p w14:paraId="1B7553CB">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3．主修专业成绩优异，学有余力；</w:t>
      </w:r>
    </w:p>
    <w:p w14:paraId="4699AEC5">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shd w:val="clear" w:color="auto" w:fill="FFFFFF"/>
        </w:rPr>
        <w:t>4．具有较好的化学基础、生命科学、药学素养和学习热情。</w:t>
      </w:r>
    </w:p>
    <w:p w14:paraId="1ACB9DEF">
      <w:pPr>
        <w:pStyle w:val="4"/>
        <w:keepNext w:val="0"/>
        <w:keepLines w:val="0"/>
        <w:pageBreakBefore w:val="0"/>
        <w:widowControl/>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五、学分与证书</w:t>
      </w:r>
    </w:p>
    <w:p w14:paraId="1D612CC5">
      <w:pPr>
        <w:pStyle w:val="4"/>
        <w:keepNext w:val="0"/>
        <w:keepLines w:val="0"/>
        <w:pageBreakBefore w:val="0"/>
        <w:widowControl/>
        <w:shd w:val="clear" w:color="auto" w:fill="FFFFFF"/>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课程全部合格，修满</w:t>
      </w:r>
      <w:r>
        <w:rPr>
          <w:rFonts w:hint="eastAsia" w:ascii="仿宋" w:hAnsi="仿宋" w:eastAsia="仿宋" w:cs="仿宋"/>
          <w:sz w:val="32"/>
          <w:szCs w:val="32"/>
          <w:shd w:val="clear" w:color="auto" w:fill="FFFFFF"/>
          <w:lang w:val="en-US" w:eastAsia="zh-CN"/>
        </w:rPr>
        <w:t>9</w:t>
      </w:r>
      <w:r>
        <w:rPr>
          <w:rFonts w:hint="eastAsia" w:ascii="仿宋" w:hAnsi="仿宋" w:eastAsia="仿宋" w:cs="仿宋"/>
          <w:sz w:val="32"/>
          <w:szCs w:val="32"/>
          <w:shd w:val="clear" w:color="auto" w:fill="FFFFFF"/>
        </w:rPr>
        <w:t>学分并按照要求参加相关实践活动者，授予江西科技师范大学“核药”微专业证书。</w:t>
      </w:r>
    </w:p>
    <w:p w14:paraId="51CC01B2">
      <w:pPr>
        <w:pStyle w:val="4"/>
        <w:widowControl/>
        <w:shd w:val="clear" w:color="auto" w:fill="FFFFFF"/>
        <w:adjustRightInd w:val="0"/>
        <w:snapToGrid w:val="0"/>
        <w:spacing w:before="300" w:beforeAutospacing="0" w:after="300" w:afterAutospacing="0" w:line="360" w:lineRule="auto"/>
        <w:ind w:firstLine="280"/>
        <w:rPr>
          <w:rFonts w:hint="eastAsia" w:ascii="仿宋" w:hAnsi="仿宋" w:eastAsia="仿宋" w:cs="仿宋"/>
          <w:sz w:val="32"/>
          <w:szCs w:val="32"/>
          <w:shd w:val="clear" w:color="auto" w:fill="FFFFFF"/>
        </w:rPr>
      </w:pPr>
    </w:p>
    <w:p w14:paraId="62A61909">
      <w:pPr>
        <w:pStyle w:val="4"/>
        <w:widowControl/>
        <w:shd w:val="clear" w:color="auto" w:fill="FFFFFF"/>
        <w:adjustRightInd w:val="0"/>
        <w:snapToGrid w:val="0"/>
        <w:spacing w:before="300" w:beforeAutospacing="0" w:after="300" w:afterAutospacing="0" w:line="360" w:lineRule="auto"/>
        <w:ind w:firstLine="280"/>
        <w:rPr>
          <w:rFonts w:hint="eastAsia" w:ascii="仿宋" w:hAnsi="仿宋" w:eastAsia="仿宋" w:cs="仿宋"/>
          <w:sz w:val="32"/>
          <w:szCs w:val="32"/>
          <w:shd w:val="clear" w:color="auto" w:fill="FFFFFF"/>
        </w:rPr>
      </w:pPr>
    </w:p>
    <w:p w14:paraId="0041494F">
      <w:pPr>
        <w:pStyle w:val="4"/>
        <w:widowControl/>
        <w:shd w:val="clear" w:color="auto" w:fill="FFFFFF"/>
        <w:adjustRightInd w:val="0"/>
        <w:snapToGrid w:val="0"/>
        <w:spacing w:before="300" w:beforeAutospacing="0" w:after="300" w:afterAutospacing="0" w:line="360" w:lineRule="auto"/>
        <w:ind w:firstLine="280"/>
        <w:rPr>
          <w:rFonts w:hint="eastAsia" w:ascii="仿宋" w:hAnsi="仿宋" w:eastAsia="仿宋" w:cs="仿宋"/>
          <w:sz w:val="32"/>
          <w:szCs w:val="32"/>
          <w:shd w:val="clear" w:color="auto" w:fill="FFFFFF"/>
        </w:rPr>
      </w:pPr>
    </w:p>
    <w:p w14:paraId="446F2811">
      <w:pPr>
        <w:pStyle w:val="4"/>
        <w:keepNext w:val="0"/>
        <w:keepLines w:val="0"/>
        <w:pageBreakBefore w:val="0"/>
        <w:widowControl/>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六、课程设置</w:t>
      </w:r>
    </w:p>
    <w:p w14:paraId="1E36D3D8">
      <w:pPr>
        <w:pStyle w:val="4"/>
        <w:widowControl/>
        <w:adjustRightInd w:val="0"/>
        <w:snapToGrid w:val="0"/>
        <w:spacing w:before="300" w:beforeAutospacing="0" w:after="402" w:afterAutospacing="0" w:line="360" w:lineRule="auto"/>
        <w:jc w:val="center"/>
        <w:rPr>
          <w:rFonts w:ascii="Times New Roman" w:hAnsi="Times New Roman" w:eastAsia="仿宋_GB2312"/>
          <w:b/>
          <w:bCs/>
        </w:rPr>
      </w:pPr>
      <w:r>
        <w:rPr>
          <w:rFonts w:hint="eastAsia" w:ascii="Times New Roman" w:hAnsi="Times New Roman" w:eastAsia="仿宋_GB2312"/>
          <w:b/>
          <w:bCs/>
        </w:rPr>
        <w:t>核药</w:t>
      </w:r>
      <w:r>
        <w:rPr>
          <w:rFonts w:ascii="Times New Roman" w:hAnsi="Times New Roman" w:eastAsia="仿宋_GB2312"/>
          <w:b/>
          <w:bCs/>
        </w:rPr>
        <w:t>微专业课程设置及教学进程计划表</w:t>
      </w:r>
    </w:p>
    <w:tbl>
      <w:tblPr>
        <w:tblStyle w:val="5"/>
        <w:tblW w:w="463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64"/>
        <w:gridCol w:w="2813"/>
        <w:gridCol w:w="731"/>
        <w:gridCol w:w="918"/>
        <w:gridCol w:w="1717"/>
        <w:gridCol w:w="720"/>
        <w:gridCol w:w="694"/>
      </w:tblGrid>
      <w:tr w14:paraId="1F2814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66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25F1800">
            <w:pPr>
              <w:adjustRightInd w:val="0"/>
              <w:snapToGrid w:val="0"/>
              <w:spacing w:line="360" w:lineRule="auto"/>
              <w:rPr>
                <w:rFonts w:ascii="Times New Roman" w:hAnsi="Times New Roman" w:eastAsia="仿宋_GB2312" w:cs="Times New Roman"/>
                <w:sz w:val="24"/>
              </w:rPr>
            </w:pPr>
            <w:r>
              <w:rPr>
                <w:rFonts w:ascii="Times New Roman" w:hAnsi="Times New Roman" w:eastAsia="仿宋_GB2312" w:cs="Times New Roman"/>
                <w:sz w:val="24"/>
              </w:rPr>
              <w:t>课程代码</w:t>
            </w:r>
          </w:p>
        </w:tc>
        <w:tc>
          <w:tcPr>
            <w:tcW w:w="160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528BCD9">
            <w:pPr>
              <w:adjustRightInd w:val="0"/>
              <w:snapToGrid w:val="0"/>
              <w:spacing w:line="360" w:lineRule="auto"/>
              <w:rPr>
                <w:rFonts w:ascii="Times New Roman" w:hAnsi="Times New Roman" w:eastAsia="仿宋_GB2312" w:cs="Times New Roman"/>
                <w:sz w:val="24"/>
              </w:rPr>
            </w:pPr>
            <w:r>
              <w:rPr>
                <w:rFonts w:ascii="Times New Roman" w:hAnsi="Times New Roman" w:eastAsia="仿宋_GB2312" w:cs="Times New Roman"/>
                <w:sz w:val="24"/>
              </w:rPr>
              <w:t>课程名称</w:t>
            </w:r>
          </w:p>
        </w:tc>
        <w:tc>
          <w:tcPr>
            <w:tcW w:w="41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6E1AC9E">
            <w:pPr>
              <w:adjustRightInd w:val="0"/>
              <w:snapToGrid w:val="0"/>
              <w:spacing w:line="360" w:lineRule="auto"/>
              <w:rPr>
                <w:rFonts w:ascii="Times New Roman" w:hAnsi="Times New Roman" w:eastAsia="仿宋_GB2312" w:cs="Times New Roman"/>
                <w:sz w:val="24"/>
              </w:rPr>
            </w:pPr>
            <w:r>
              <w:rPr>
                <w:rFonts w:ascii="Times New Roman" w:hAnsi="Times New Roman" w:eastAsia="仿宋_GB2312" w:cs="Times New Roman"/>
                <w:sz w:val="24"/>
              </w:rPr>
              <w:t>学分</w:t>
            </w:r>
          </w:p>
        </w:tc>
        <w:tc>
          <w:tcPr>
            <w:tcW w:w="52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AA816CB">
            <w:pPr>
              <w:adjustRightInd w:val="0"/>
              <w:snapToGrid w:val="0"/>
              <w:spacing w:line="360" w:lineRule="auto"/>
              <w:rPr>
                <w:rFonts w:ascii="Times New Roman" w:hAnsi="Times New Roman" w:eastAsia="仿宋_GB2312" w:cs="Times New Roman"/>
                <w:sz w:val="24"/>
              </w:rPr>
            </w:pPr>
            <w:r>
              <w:rPr>
                <w:rFonts w:ascii="Times New Roman" w:hAnsi="Times New Roman" w:eastAsia="仿宋_GB2312" w:cs="Times New Roman"/>
                <w:sz w:val="24"/>
              </w:rPr>
              <w:t>总学时</w:t>
            </w:r>
          </w:p>
        </w:tc>
        <w:tc>
          <w:tcPr>
            <w:tcW w:w="980"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CEDD18C">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授课方式</w:t>
            </w:r>
          </w:p>
        </w:tc>
        <w:tc>
          <w:tcPr>
            <w:tcW w:w="411"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A8CCAD8">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修读学期</w:t>
            </w:r>
          </w:p>
        </w:tc>
        <w:tc>
          <w:tcPr>
            <w:tcW w:w="39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1768691">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考核</w:t>
            </w:r>
          </w:p>
          <w:p w14:paraId="564E71EC">
            <w:pPr>
              <w:adjustRightInd w:val="0"/>
              <w:snapToGrid w:val="0"/>
              <w:spacing w:line="360" w:lineRule="auto"/>
              <w:rPr>
                <w:rFonts w:ascii="Times New Roman" w:hAnsi="Times New Roman" w:eastAsia="仿宋_GB2312" w:cs="Times New Roman"/>
                <w:sz w:val="24"/>
              </w:rPr>
            </w:pPr>
            <w:r>
              <w:rPr>
                <w:rFonts w:ascii="Times New Roman" w:hAnsi="Times New Roman" w:eastAsia="仿宋_GB2312" w:cs="Times New Roman"/>
                <w:sz w:val="24"/>
              </w:rPr>
              <w:t>方式</w:t>
            </w:r>
          </w:p>
        </w:tc>
      </w:tr>
      <w:tr w14:paraId="0E1034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66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68BA4DB">
            <w:pPr>
              <w:adjustRightInd w:val="0"/>
              <w:snapToGrid w:val="0"/>
              <w:spacing w:line="360" w:lineRule="auto"/>
              <w:rPr>
                <w:rFonts w:ascii="Times New Roman" w:hAnsi="Times New Roman" w:eastAsia="仿宋_GB2312" w:cs="Times New Roman"/>
                <w:sz w:val="24"/>
              </w:rPr>
            </w:pPr>
          </w:p>
        </w:tc>
        <w:tc>
          <w:tcPr>
            <w:tcW w:w="160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64068AE">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放射化学基本理论</w:t>
            </w:r>
          </w:p>
        </w:tc>
        <w:tc>
          <w:tcPr>
            <w:tcW w:w="41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FFCD69E">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52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1C24B75">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34</w:t>
            </w:r>
          </w:p>
        </w:tc>
        <w:tc>
          <w:tcPr>
            <w:tcW w:w="980"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5D59C1A">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线上线下结合</w:t>
            </w:r>
          </w:p>
        </w:tc>
        <w:tc>
          <w:tcPr>
            <w:tcW w:w="411"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ED247B1">
            <w:pPr>
              <w:pStyle w:val="4"/>
              <w:widowControl/>
              <w:adjustRightInd w:val="0"/>
              <w:snapToGrid w:val="0"/>
              <w:spacing w:beforeAutospacing="0" w:afterAutospacing="0" w:line="360" w:lineRule="auto"/>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3</w:t>
            </w:r>
          </w:p>
        </w:tc>
        <w:tc>
          <w:tcPr>
            <w:tcW w:w="39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4153EA0">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考试</w:t>
            </w:r>
          </w:p>
        </w:tc>
      </w:tr>
      <w:tr w14:paraId="607C86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66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B3656A8">
            <w:pPr>
              <w:adjustRightInd w:val="0"/>
              <w:snapToGrid w:val="0"/>
              <w:spacing w:line="360" w:lineRule="auto"/>
              <w:rPr>
                <w:rFonts w:ascii="Times New Roman" w:hAnsi="Times New Roman" w:eastAsia="仿宋_GB2312" w:cs="Times New Roman"/>
                <w:sz w:val="24"/>
              </w:rPr>
            </w:pPr>
          </w:p>
        </w:tc>
        <w:tc>
          <w:tcPr>
            <w:tcW w:w="160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EA75AAC">
            <w:pPr>
              <w:adjustRightInd w:val="0"/>
              <w:snapToGrid w:val="0"/>
              <w:spacing w:line="360" w:lineRule="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核医学</w:t>
            </w:r>
            <w:r>
              <w:rPr>
                <w:rFonts w:hint="eastAsia" w:ascii="Times New Roman" w:hAnsi="Times New Roman" w:eastAsia="仿宋_GB2312" w:cs="Times New Roman"/>
                <w:sz w:val="24"/>
                <w:lang w:eastAsia="zh-CN"/>
              </w:rPr>
              <w:t>与分子影像</w:t>
            </w:r>
          </w:p>
        </w:tc>
        <w:tc>
          <w:tcPr>
            <w:tcW w:w="41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54E6B0C">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52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C6DA138">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34</w:t>
            </w:r>
          </w:p>
        </w:tc>
        <w:tc>
          <w:tcPr>
            <w:tcW w:w="980"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4CED6E7">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线上线下结合</w:t>
            </w:r>
          </w:p>
        </w:tc>
        <w:tc>
          <w:tcPr>
            <w:tcW w:w="411"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E175BE5">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4</w:t>
            </w:r>
          </w:p>
        </w:tc>
        <w:tc>
          <w:tcPr>
            <w:tcW w:w="39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12D4353">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考试</w:t>
            </w:r>
          </w:p>
        </w:tc>
      </w:tr>
      <w:tr w14:paraId="2B6310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66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6777588">
            <w:pPr>
              <w:adjustRightInd w:val="0"/>
              <w:snapToGrid w:val="0"/>
              <w:spacing w:line="360" w:lineRule="auto"/>
              <w:rPr>
                <w:rFonts w:ascii="Times New Roman" w:hAnsi="Times New Roman" w:eastAsia="仿宋_GB2312" w:cs="Times New Roman"/>
                <w:sz w:val="24"/>
              </w:rPr>
            </w:pPr>
          </w:p>
        </w:tc>
        <w:tc>
          <w:tcPr>
            <w:tcW w:w="160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FE4CCE2">
            <w:pPr>
              <w:adjustRightInd w:val="0"/>
              <w:snapToGrid w:val="0"/>
              <w:spacing w:line="360" w:lineRule="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rPr>
              <w:t>核药学原理</w:t>
            </w:r>
            <w:r>
              <w:rPr>
                <w:rFonts w:hint="eastAsia" w:ascii="Times New Roman" w:hAnsi="Times New Roman" w:eastAsia="仿宋_GB2312" w:cs="Times New Roman"/>
                <w:sz w:val="24"/>
                <w:lang w:eastAsia="zh-CN"/>
              </w:rPr>
              <w:t>与研发实例</w:t>
            </w:r>
          </w:p>
        </w:tc>
        <w:tc>
          <w:tcPr>
            <w:tcW w:w="41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794B1D9">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52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E77B110">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34</w:t>
            </w:r>
          </w:p>
        </w:tc>
        <w:tc>
          <w:tcPr>
            <w:tcW w:w="980"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0D0ADD8">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线上线下结合</w:t>
            </w:r>
          </w:p>
        </w:tc>
        <w:tc>
          <w:tcPr>
            <w:tcW w:w="411"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0AA1B32">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5</w:t>
            </w:r>
          </w:p>
        </w:tc>
        <w:tc>
          <w:tcPr>
            <w:tcW w:w="39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8E2444D">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考试</w:t>
            </w:r>
          </w:p>
        </w:tc>
      </w:tr>
      <w:tr w14:paraId="064081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66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7EE11A6">
            <w:pPr>
              <w:adjustRightInd w:val="0"/>
              <w:snapToGrid w:val="0"/>
              <w:spacing w:line="360" w:lineRule="auto"/>
              <w:rPr>
                <w:rFonts w:ascii="Times New Roman" w:hAnsi="Times New Roman" w:eastAsia="仿宋_GB2312" w:cs="Times New Roman"/>
                <w:sz w:val="24"/>
              </w:rPr>
            </w:pPr>
          </w:p>
        </w:tc>
        <w:tc>
          <w:tcPr>
            <w:tcW w:w="160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327C799">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核辐射防护与核安全</w:t>
            </w:r>
          </w:p>
        </w:tc>
        <w:tc>
          <w:tcPr>
            <w:tcW w:w="41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8211E8F">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2</w:t>
            </w:r>
          </w:p>
        </w:tc>
        <w:tc>
          <w:tcPr>
            <w:tcW w:w="52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099E3609">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34</w:t>
            </w:r>
          </w:p>
        </w:tc>
        <w:tc>
          <w:tcPr>
            <w:tcW w:w="980"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58BA1D5">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线上线下结合</w:t>
            </w:r>
          </w:p>
        </w:tc>
        <w:tc>
          <w:tcPr>
            <w:tcW w:w="411"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8CC2273">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5</w:t>
            </w:r>
          </w:p>
        </w:tc>
        <w:tc>
          <w:tcPr>
            <w:tcW w:w="39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A5266DA">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考查</w:t>
            </w:r>
          </w:p>
        </w:tc>
      </w:tr>
      <w:tr w14:paraId="53D30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66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67ED441">
            <w:pPr>
              <w:adjustRightInd w:val="0"/>
              <w:snapToGrid w:val="0"/>
              <w:spacing w:line="360" w:lineRule="auto"/>
              <w:rPr>
                <w:rFonts w:ascii="Times New Roman" w:hAnsi="Times New Roman" w:eastAsia="仿宋_GB2312" w:cs="Times New Roman"/>
                <w:sz w:val="24"/>
              </w:rPr>
            </w:pPr>
          </w:p>
        </w:tc>
        <w:tc>
          <w:tcPr>
            <w:tcW w:w="160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AA1A199">
            <w:pPr>
              <w:adjustRightInd w:val="0"/>
              <w:snapToGrid w:val="0"/>
              <w:spacing w:line="360" w:lineRule="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t>核药活体动物实验（静脉注射）</w:t>
            </w:r>
          </w:p>
        </w:tc>
        <w:tc>
          <w:tcPr>
            <w:tcW w:w="41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5C13835">
            <w:pPr>
              <w:adjustRightInd w:val="0"/>
              <w:snapToGrid w:val="0"/>
              <w:spacing w:line="360" w:lineRule="auto"/>
              <w:jc w:val="center"/>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val="en-US" w:eastAsia="zh-CN"/>
              </w:rPr>
              <w:t>1</w:t>
            </w:r>
          </w:p>
        </w:tc>
        <w:tc>
          <w:tcPr>
            <w:tcW w:w="52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09629FD">
            <w:pPr>
              <w:adjustRightInd w:val="0"/>
              <w:snapToGrid w:val="0"/>
              <w:spacing w:line="360" w:lineRule="auto"/>
              <w:jc w:val="center"/>
              <w:rPr>
                <w:rFonts w:ascii="Times New Roman" w:hAnsi="Times New Roman" w:eastAsia="仿宋_GB2312" w:cs="Times New Roman"/>
                <w:sz w:val="24"/>
              </w:rPr>
            </w:pPr>
            <w:r>
              <w:rPr>
                <w:rFonts w:hint="eastAsia" w:ascii="Times New Roman" w:hAnsi="Times New Roman" w:eastAsia="仿宋_GB2312" w:cs="Times New Roman"/>
                <w:sz w:val="24"/>
              </w:rPr>
              <w:t>34</w:t>
            </w:r>
          </w:p>
        </w:tc>
        <w:tc>
          <w:tcPr>
            <w:tcW w:w="980"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F56A48E">
            <w:pPr>
              <w:pStyle w:val="4"/>
              <w:widowControl/>
              <w:adjustRightInd w:val="0"/>
              <w:snapToGrid w:val="0"/>
              <w:spacing w:beforeAutospacing="0" w:afterAutospacing="0" w:line="360" w:lineRule="auto"/>
              <w:jc w:val="center"/>
              <w:rPr>
                <w:rFonts w:hint="eastAsia" w:ascii="Times New Roman" w:hAnsi="Times New Roman" w:eastAsia="仿宋_GB2312"/>
              </w:rPr>
            </w:pPr>
          </w:p>
          <w:p w14:paraId="5BD5957E">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线下结合</w:t>
            </w:r>
          </w:p>
        </w:tc>
        <w:tc>
          <w:tcPr>
            <w:tcW w:w="411"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BD4E0A9">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6</w:t>
            </w:r>
          </w:p>
        </w:tc>
        <w:tc>
          <w:tcPr>
            <w:tcW w:w="39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0BB7DBA">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考查</w:t>
            </w:r>
          </w:p>
        </w:tc>
      </w:tr>
      <w:tr w14:paraId="4A2805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0" w:hRule="atLeast"/>
          <w:jc w:val="center"/>
        </w:trPr>
        <w:tc>
          <w:tcPr>
            <w:tcW w:w="66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DDD2FE5">
            <w:pPr>
              <w:adjustRightInd w:val="0"/>
              <w:snapToGrid w:val="0"/>
              <w:spacing w:line="360" w:lineRule="auto"/>
              <w:rPr>
                <w:rFonts w:ascii="Times New Roman" w:hAnsi="Times New Roman" w:eastAsia="仿宋_GB2312" w:cs="Times New Roman"/>
                <w:sz w:val="24"/>
              </w:rPr>
            </w:pPr>
          </w:p>
        </w:tc>
        <w:tc>
          <w:tcPr>
            <w:tcW w:w="1605"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983163E">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综合实践</w:t>
            </w:r>
          </w:p>
        </w:tc>
        <w:tc>
          <w:tcPr>
            <w:tcW w:w="417"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4F92F40">
            <w:pPr>
              <w:adjustRightInd w:val="0"/>
              <w:snapToGrid w:val="0"/>
              <w:spacing w:line="360" w:lineRule="auto"/>
              <w:rPr>
                <w:rFonts w:ascii="Times New Roman" w:hAnsi="Times New Roman" w:eastAsia="仿宋_GB2312" w:cs="Times New Roman"/>
                <w:sz w:val="24"/>
              </w:rPr>
            </w:pPr>
          </w:p>
        </w:tc>
        <w:tc>
          <w:tcPr>
            <w:tcW w:w="52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6968537">
            <w:pPr>
              <w:adjustRightInd w:val="0"/>
              <w:snapToGrid w:val="0"/>
              <w:spacing w:line="360" w:lineRule="auto"/>
              <w:rPr>
                <w:rFonts w:ascii="Times New Roman" w:hAnsi="Times New Roman" w:eastAsia="仿宋_GB2312" w:cs="Times New Roman"/>
                <w:sz w:val="24"/>
              </w:rPr>
            </w:pPr>
          </w:p>
        </w:tc>
        <w:tc>
          <w:tcPr>
            <w:tcW w:w="980"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7815616">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企业实习</w:t>
            </w:r>
          </w:p>
        </w:tc>
        <w:tc>
          <w:tcPr>
            <w:tcW w:w="411"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7D0724B">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7、8</w:t>
            </w:r>
          </w:p>
        </w:tc>
        <w:tc>
          <w:tcPr>
            <w:tcW w:w="396"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52BD7B17">
            <w:pPr>
              <w:adjustRightInd w:val="0"/>
              <w:snapToGrid w:val="0"/>
              <w:spacing w:line="360" w:lineRule="auto"/>
              <w:rPr>
                <w:rFonts w:ascii="Times New Roman" w:hAnsi="Times New Roman" w:eastAsia="仿宋_GB2312" w:cs="Times New Roman"/>
                <w:sz w:val="24"/>
              </w:rPr>
            </w:pPr>
            <w:r>
              <w:rPr>
                <w:rFonts w:hint="eastAsia" w:ascii="Times New Roman" w:hAnsi="Times New Roman" w:eastAsia="仿宋_GB2312" w:cs="Times New Roman"/>
                <w:sz w:val="24"/>
              </w:rPr>
              <w:t>考查</w:t>
            </w:r>
          </w:p>
        </w:tc>
      </w:tr>
    </w:tbl>
    <w:p w14:paraId="14A8F332">
      <w:pPr>
        <w:pStyle w:val="4"/>
        <w:widowControl/>
        <w:adjustRightInd w:val="0"/>
        <w:snapToGrid w:val="0"/>
        <w:spacing w:before="300" w:beforeAutospacing="0" w:after="300" w:afterAutospacing="0" w:line="360" w:lineRule="auto"/>
        <w:jc w:val="center"/>
        <w:rPr>
          <w:rFonts w:ascii="Times New Roman" w:hAnsi="Times New Roman" w:eastAsia="仿宋_GB2312"/>
          <w:b/>
          <w:bCs/>
        </w:rPr>
      </w:pPr>
      <w:r>
        <w:rPr>
          <w:rFonts w:ascii="Times New Roman" w:hAnsi="Times New Roman" w:eastAsia="仿宋_GB2312"/>
          <w:b/>
          <w:bCs/>
        </w:rPr>
        <w:t>核心课程与毕业要求对应关系表</w:t>
      </w:r>
    </w:p>
    <w:tbl>
      <w:tblPr>
        <w:tblStyle w:val="5"/>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2423"/>
        <w:gridCol w:w="1751"/>
        <w:gridCol w:w="1753"/>
        <w:gridCol w:w="1753"/>
        <w:gridCol w:w="1754"/>
      </w:tblGrid>
      <w:tr w14:paraId="0B7E72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330" w:hRule="atLeast"/>
        </w:trPr>
        <w:tc>
          <w:tcPr>
            <w:tcW w:w="128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EBAF480">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课程名称</w:t>
            </w:r>
          </w:p>
        </w:tc>
        <w:tc>
          <w:tcPr>
            <w:tcW w:w="928"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1E1487EE">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毕业要求1</w:t>
            </w:r>
          </w:p>
          <w:p w14:paraId="40A751A1">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hint="eastAsia" w:ascii="Times New Roman" w:hAnsi="Times New Roman" w:eastAsia="仿宋_GB2312"/>
                <w:shd w:val="clear" w:color="auto" w:fill="FFFFFF"/>
              </w:rPr>
              <w:t>思想品德与修养</w:t>
            </w:r>
          </w:p>
        </w:tc>
        <w:tc>
          <w:tcPr>
            <w:tcW w:w="929"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22A06F23">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毕业要求2</w:t>
            </w:r>
          </w:p>
          <w:p w14:paraId="153EC5A0">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hint="eastAsia" w:ascii="Times New Roman" w:hAnsi="Times New Roman" w:eastAsia="仿宋_GB2312"/>
                <w:shd w:val="clear" w:color="auto" w:fill="FFFFFF"/>
              </w:rPr>
              <w:t>基本知识与能力</w:t>
            </w:r>
          </w:p>
        </w:tc>
        <w:tc>
          <w:tcPr>
            <w:tcW w:w="929"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B98831A">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毕业要求3</w:t>
            </w:r>
          </w:p>
          <w:p w14:paraId="63B48A33">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hint="eastAsia" w:ascii="Times New Roman" w:hAnsi="Times New Roman" w:eastAsia="仿宋_GB2312"/>
                <w:shd w:val="clear" w:color="auto" w:fill="FFFFFF"/>
              </w:rPr>
              <w:t>专业知识与能力</w:t>
            </w:r>
          </w:p>
        </w:tc>
        <w:tc>
          <w:tcPr>
            <w:tcW w:w="929"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38F71B5D">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毕业要求4</w:t>
            </w:r>
          </w:p>
          <w:p w14:paraId="4E9F3606">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ascii="Times New Roman" w:hAnsi="Times New Roman" w:eastAsia="仿宋_GB2312"/>
                <w:shd w:val="clear" w:color="auto" w:fill="FFFFFF"/>
              </w:rPr>
              <w:t>文化素质与发展潜力</w:t>
            </w:r>
          </w:p>
        </w:tc>
      </w:tr>
      <w:tr w14:paraId="4DCA8E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0" w:hRule="atLeast"/>
        </w:trPr>
        <w:tc>
          <w:tcPr>
            <w:tcW w:w="2423"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1C50CACE">
            <w:pPr>
              <w:adjustRightInd w:val="0"/>
              <w:snapToGrid w:val="0"/>
              <w:spacing w:line="360" w:lineRule="auto"/>
              <w:rPr>
                <w:rFonts w:ascii="Times New Roman" w:hAnsi="Times New Roman" w:eastAsia="仿宋_GB2312"/>
              </w:rPr>
            </w:pPr>
            <w:r>
              <w:rPr>
                <w:rFonts w:hint="eastAsia" w:ascii="Times New Roman" w:hAnsi="Times New Roman" w:eastAsia="仿宋_GB2312" w:cs="Times New Roman"/>
                <w:sz w:val="24"/>
              </w:rPr>
              <w:t>放射化学基本理论</w:t>
            </w:r>
          </w:p>
        </w:tc>
        <w:tc>
          <w:tcPr>
            <w:tcW w:w="9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1A115E9">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207CFDF1">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1678C5C7">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788A0EEB">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M</w:t>
            </w:r>
          </w:p>
        </w:tc>
      </w:tr>
      <w:tr w14:paraId="669EC6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0" w:hRule="atLeast"/>
        </w:trPr>
        <w:tc>
          <w:tcPr>
            <w:tcW w:w="2423"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7801EE93">
            <w:pPr>
              <w:adjustRightInd w:val="0"/>
              <w:snapToGrid w:val="0"/>
              <w:spacing w:line="360" w:lineRule="auto"/>
              <w:rPr>
                <w:rFonts w:ascii="Times New Roman" w:hAnsi="Times New Roman" w:eastAsia="仿宋_GB2312"/>
              </w:rPr>
            </w:pPr>
            <w:r>
              <w:rPr>
                <w:rFonts w:hint="eastAsia" w:ascii="Times New Roman" w:hAnsi="Times New Roman" w:eastAsia="仿宋_GB2312" w:cs="Times New Roman"/>
                <w:sz w:val="24"/>
              </w:rPr>
              <w:t>核医学</w:t>
            </w:r>
            <w:r>
              <w:rPr>
                <w:rFonts w:hint="eastAsia" w:ascii="Times New Roman" w:hAnsi="Times New Roman" w:eastAsia="仿宋_GB2312" w:cs="Times New Roman"/>
                <w:sz w:val="24"/>
                <w:lang w:eastAsia="zh-CN"/>
              </w:rPr>
              <w:t>与分子影像</w:t>
            </w:r>
          </w:p>
        </w:tc>
        <w:tc>
          <w:tcPr>
            <w:tcW w:w="9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5A853369">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D035F1B">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ACBC322">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AE8782D">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r>
      <w:tr w14:paraId="192021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0" w:hRule="atLeast"/>
        </w:trPr>
        <w:tc>
          <w:tcPr>
            <w:tcW w:w="2423"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79087A95">
            <w:pPr>
              <w:adjustRightInd w:val="0"/>
              <w:snapToGrid w:val="0"/>
              <w:spacing w:line="360" w:lineRule="auto"/>
              <w:rPr>
                <w:rFonts w:ascii="Times New Roman" w:hAnsi="Times New Roman" w:eastAsia="仿宋_GB2312"/>
              </w:rPr>
            </w:pPr>
            <w:r>
              <w:rPr>
                <w:rFonts w:hint="eastAsia" w:ascii="Times New Roman" w:hAnsi="Times New Roman" w:eastAsia="仿宋_GB2312" w:cs="Times New Roman"/>
                <w:sz w:val="24"/>
              </w:rPr>
              <w:t>核药学原理</w:t>
            </w:r>
            <w:r>
              <w:rPr>
                <w:rFonts w:hint="eastAsia" w:ascii="Times New Roman" w:hAnsi="Times New Roman" w:eastAsia="仿宋_GB2312" w:cs="Times New Roman"/>
                <w:sz w:val="24"/>
                <w:lang w:eastAsia="zh-CN"/>
              </w:rPr>
              <w:t>与研发实例</w:t>
            </w:r>
          </w:p>
        </w:tc>
        <w:tc>
          <w:tcPr>
            <w:tcW w:w="9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7EA6065D">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AE47A64">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A5AB6F5">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4712B008">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r>
      <w:tr w14:paraId="433D63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0" w:hRule="atLeast"/>
        </w:trPr>
        <w:tc>
          <w:tcPr>
            <w:tcW w:w="2423"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1CF6094">
            <w:pPr>
              <w:adjustRightInd w:val="0"/>
              <w:snapToGrid w:val="0"/>
              <w:spacing w:line="360" w:lineRule="auto"/>
              <w:rPr>
                <w:rFonts w:ascii="Times New Roman" w:hAnsi="Times New Roman" w:eastAsia="仿宋_GB2312"/>
              </w:rPr>
            </w:pPr>
            <w:r>
              <w:rPr>
                <w:rFonts w:hint="eastAsia" w:ascii="Times New Roman" w:hAnsi="Times New Roman" w:eastAsia="仿宋_GB2312" w:cs="Times New Roman"/>
                <w:sz w:val="24"/>
              </w:rPr>
              <w:t>核辐射防护与核安全</w:t>
            </w:r>
          </w:p>
        </w:tc>
        <w:tc>
          <w:tcPr>
            <w:tcW w:w="9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F77DC64">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2007D9B8">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2CBDD0AF">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15A4CC1">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r>
      <w:tr w14:paraId="2D547D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0" w:hRule="atLeast"/>
        </w:trPr>
        <w:tc>
          <w:tcPr>
            <w:tcW w:w="2423" w:type="dxa"/>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BCB52CC">
            <w:pPr>
              <w:adjustRightInd w:val="0"/>
              <w:snapToGrid w:val="0"/>
              <w:spacing w:line="360" w:lineRule="auto"/>
              <w:rPr>
                <w:rFonts w:ascii="Times New Roman" w:hAnsi="Times New Roman" w:eastAsia="仿宋_GB2312"/>
              </w:rPr>
            </w:pPr>
            <w:r>
              <w:rPr>
                <w:rFonts w:hint="eastAsia" w:ascii="Times New Roman" w:hAnsi="Times New Roman" w:eastAsia="仿宋_GB2312" w:cs="Times New Roman"/>
                <w:sz w:val="24"/>
                <w:lang w:eastAsia="zh-CN"/>
              </w:rPr>
              <w:t>活体动物实验（静脉注射）</w:t>
            </w:r>
          </w:p>
        </w:tc>
        <w:tc>
          <w:tcPr>
            <w:tcW w:w="9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285244F">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E4ABDDF">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3CA0D8D">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H</w:t>
            </w:r>
          </w:p>
        </w:tc>
        <w:tc>
          <w:tcPr>
            <w:tcW w:w="929"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533BBA1D">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M</w:t>
            </w:r>
          </w:p>
        </w:tc>
      </w:tr>
    </w:tbl>
    <w:p w14:paraId="5D4F2E74">
      <w:pPr>
        <w:pStyle w:val="4"/>
        <w:keepNext w:val="0"/>
        <w:keepLines w:val="0"/>
        <w:pageBreakBefore w:val="0"/>
        <w:widowControl/>
        <w:kinsoku/>
        <w:wordWrap/>
        <w:overflowPunct/>
        <w:topLinePunct w:val="0"/>
        <w:autoSpaceDE/>
        <w:autoSpaceDN/>
        <w:bidi w:val="0"/>
        <w:adjustRightInd w:val="0"/>
        <w:snapToGrid w:val="0"/>
        <w:spacing w:before="300" w:beforeAutospacing="0" w:after="300" w:afterAutospacing="0" w:line="240" w:lineRule="auto"/>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七、课程简介</w:t>
      </w:r>
    </w:p>
    <w:tbl>
      <w:tblPr>
        <w:tblStyle w:val="5"/>
        <w:tblW w:w="499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19"/>
        <w:gridCol w:w="1468"/>
        <w:gridCol w:w="7347"/>
      </w:tblGrid>
      <w:tr w14:paraId="3ACCA5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328"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7AE42282">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ascii="Times New Roman" w:hAnsi="Times New Roman" w:eastAsia="仿宋_GB2312"/>
                <w:spacing w:val="10"/>
              </w:rPr>
              <w:t>序号</w:t>
            </w:r>
          </w:p>
        </w:tc>
        <w:tc>
          <w:tcPr>
            <w:tcW w:w="778"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466B4038">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ascii="Times New Roman" w:hAnsi="Times New Roman" w:eastAsia="仿宋_GB2312"/>
                <w:spacing w:val="10"/>
              </w:rPr>
              <w:t>课程</w:t>
            </w:r>
          </w:p>
          <w:p w14:paraId="6EC3DA8B">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ascii="Times New Roman" w:hAnsi="Times New Roman" w:eastAsia="仿宋_GB2312"/>
                <w:spacing w:val="10"/>
              </w:rPr>
              <w:t>名称</w:t>
            </w:r>
          </w:p>
        </w:tc>
        <w:tc>
          <w:tcPr>
            <w:tcW w:w="3894" w:type="pct"/>
            <w:tcBorders>
              <w:top w:val="single" w:color="auto" w:sz="4" w:space="0"/>
              <w:left w:val="single" w:color="auto" w:sz="4" w:space="0"/>
              <w:bottom w:val="single" w:color="auto" w:sz="4" w:space="0"/>
              <w:right w:val="single" w:color="auto" w:sz="4" w:space="0"/>
            </w:tcBorders>
            <w:shd w:val="clear" w:color="auto" w:fill="auto"/>
            <w:tcMar>
              <w:left w:w="70" w:type="dxa"/>
              <w:right w:w="70" w:type="dxa"/>
            </w:tcMar>
            <w:vAlign w:val="center"/>
          </w:tcPr>
          <w:p w14:paraId="655DC5EB">
            <w:pPr>
              <w:pStyle w:val="4"/>
              <w:widowControl/>
              <w:adjustRightInd w:val="0"/>
              <w:snapToGrid w:val="0"/>
              <w:spacing w:beforeAutospacing="0" w:afterAutospacing="0" w:line="360" w:lineRule="auto"/>
              <w:jc w:val="center"/>
              <w:rPr>
                <w:rFonts w:ascii="Times New Roman" w:hAnsi="Times New Roman" w:eastAsia="仿宋_GB2312"/>
              </w:rPr>
            </w:pPr>
            <w:r>
              <w:rPr>
                <w:rStyle w:val="7"/>
                <w:rFonts w:ascii="Times New Roman" w:hAnsi="Times New Roman" w:eastAsia="仿宋_GB2312"/>
                <w:spacing w:val="10"/>
              </w:rPr>
              <w:t>课程简介</w:t>
            </w:r>
          </w:p>
        </w:tc>
      </w:tr>
      <w:tr w14:paraId="082832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3" w:hRule="atLeast"/>
          <w:jc w:val="center"/>
        </w:trPr>
        <w:tc>
          <w:tcPr>
            <w:tcW w:w="3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217F3FEA">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1</w:t>
            </w:r>
          </w:p>
        </w:tc>
        <w:tc>
          <w:tcPr>
            <w:tcW w:w="77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D8E5892">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放射化学基本理论</w:t>
            </w:r>
          </w:p>
        </w:tc>
        <w:tc>
          <w:tcPr>
            <w:tcW w:w="3894"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193D9994">
            <w:pPr>
              <w:pStyle w:val="4"/>
              <w:widowControl/>
              <w:adjustRightInd w:val="0"/>
              <w:snapToGrid w:val="0"/>
              <w:spacing w:beforeAutospacing="0" w:afterAutospacing="0" w:line="360" w:lineRule="auto"/>
              <w:ind w:firstLine="250"/>
            </w:pPr>
            <w:r>
              <w:rPr>
                <w:rFonts w:hint="eastAsia"/>
              </w:rPr>
              <w:t>放射化学是一门</w:t>
            </w:r>
            <w:r>
              <w:t>研究放射性物质及其辐射效应的化学</w:t>
            </w:r>
            <w:r>
              <w:rPr>
                <w:rFonts w:hint="eastAsia"/>
              </w:rPr>
              <w:t>分支学科，放射化学基本理论旨在帮助学生理解</w:t>
            </w:r>
            <w:r>
              <w:t>包括放射性元素化学、核能放射化学、环境放射化学、放射性药物化学、放射分析化学</w:t>
            </w:r>
            <w:r>
              <w:rPr>
                <w:rFonts w:hint="eastAsia"/>
              </w:rPr>
              <w:t>等基本理论和基础知识，为核能利用、核技术开发、环境保护等领域提供基础。</w:t>
            </w:r>
          </w:p>
          <w:p w14:paraId="7A267BD5">
            <w:pPr>
              <w:pStyle w:val="4"/>
              <w:widowControl/>
              <w:adjustRightInd w:val="0"/>
              <w:snapToGrid w:val="0"/>
              <w:spacing w:beforeAutospacing="0" w:afterAutospacing="0" w:line="360" w:lineRule="auto"/>
              <w:ind w:firstLine="250"/>
              <w:rPr>
                <w:rFonts w:ascii="Times New Roman" w:hAnsi="Times New Roman" w:eastAsia="仿宋_GB2312"/>
              </w:rPr>
            </w:pPr>
            <w:r>
              <w:rPr>
                <w:rFonts w:hint="eastAsia"/>
              </w:rPr>
              <w:t>本课程通过线上线下结合的教学方式，加深学生对放射化学和放射性药物研究的理解，为核药研究和开发奠定基础。</w:t>
            </w:r>
          </w:p>
        </w:tc>
      </w:tr>
      <w:tr w14:paraId="005896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8517F72">
            <w:pPr>
              <w:pStyle w:val="4"/>
              <w:widowControl/>
              <w:adjustRightInd w:val="0"/>
              <w:snapToGrid w:val="0"/>
              <w:spacing w:beforeAutospacing="0" w:afterAutospacing="0" w:line="360" w:lineRule="auto"/>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2</w:t>
            </w:r>
          </w:p>
        </w:tc>
        <w:tc>
          <w:tcPr>
            <w:tcW w:w="77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7B6EBF25">
            <w:pPr>
              <w:pStyle w:val="4"/>
              <w:widowControl/>
              <w:adjustRightInd w:val="0"/>
              <w:snapToGrid w:val="0"/>
              <w:spacing w:beforeAutospacing="0" w:afterAutospacing="0" w:line="360" w:lineRule="auto"/>
              <w:jc w:val="center"/>
              <w:rPr>
                <w:rFonts w:hint="eastAsia" w:ascii="Times New Roman" w:hAnsi="Times New Roman" w:eastAsia="仿宋_GB2312"/>
                <w:lang w:eastAsia="zh-CN"/>
              </w:rPr>
            </w:pPr>
            <w:r>
              <w:rPr>
                <w:rFonts w:hint="eastAsia" w:ascii="Times New Roman" w:hAnsi="Times New Roman" w:eastAsia="仿宋_GB2312"/>
              </w:rPr>
              <w:t>核医学</w:t>
            </w:r>
            <w:r>
              <w:rPr>
                <w:rFonts w:hint="eastAsia" w:ascii="Times New Roman" w:hAnsi="Times New Roman" w:eastAsia="仿宋_GB2312"/>
                <w:lang w:eastAsia="zh-CN"/>
              </w:rPr>
              <w:t>与分子影像</w:t>
            </w:r>
          </w:p>
        </w:tc>
        <w:tc>
          <w:tcPr>
            <w:tcW w:w="3894"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790DFD3C">
            <w:pPr>
              <w:pStyle w:val="4"/>
              <w:widowControl/>
              <w:adjustRightInd w:val="0"/>
              <w:snapToGrid w:val="0"/>
              <w:spacing w:beforeAutospacing="0" w:afterAutospacing="0" w:line="360" w:lineRule="auto"/>
              <w:ind w:firstLine="250"/>
              <w:rPr>
                <w:rFonts w:ascii="Times New Roman" w:hAnsi="Times New Roman" w:eastAsia="仿宋_GB2312"/>
              </w:rPr>
            </w:pPr>
            <w:r>
              <w:rPr>
                <w:rFonts w:hint="eastAsia"/>
              </w:rPr>
              <w:t>核医学与分子影像课程融合了核物理学、生物医学及影像学技术，利用放射性核素和分子探针在细胞和分子水平揭示生物过程。课程涵盖了核医学的基本原理、放射性药物的应用、PET/CT等先进影像技术的解析，以及分子影像在疾病早期诊断、治疗评估中的重要作用。学生将学习如何运用这些技术提升临床决策能力，并了解该领域的前沿研究与未来发展趋势。通过理论与实践结合的教学方式，培养学生成为具备创新思维和科研能力的医学专业人才。</w:t>
            </w:r>
          </w:p>
        </w:tc>
      </w:tr>
      <w:tr w14:paraId="0BB62F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60" w:hRule="atLeast"/>
          <w:jc w:val="center"/>
        </w:trPr>
        <w:tc>
          <w:tcPr>
            <w:tcW w:w="3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01675D1F">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3</w:t>
            </w:r>
          </w:p>
        </w:tc>
        <w:tc>
          <w:tcPr>
            <w:tcW w:w="77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E89522F">
            <w:pPr>
              <w:pStyle w:val="4"/>
              <w:widowControl/>
              <w:adjustRightInd w:val="0"/>
              <w:snapToGrid w:val="0"/>
              <w:spacing w:beforeAutospacing="0" w:afterAutospacing="0" w:line="360" w:lineRule="auto"/>
              <w:jc w:val="center"/>
              <w:rPr>
                <w:rFonts w:hint="eastAsia" w:ascii="Times New Roman" w:hAnsi="Times New Roman" w:eastAsia="仿宋_GB2312"/>
                <w:lang w:eastAsia="zh-CN"/>
              </w:rPr>
            </w:pPr>
            <w:r>
              <w:rPr>
                <w:rFonts w:hint="eastAsia" w:ascii="Times New Roman" w:hAnsi="Times New Roman" w:eastAsia="仿宋_GB2312"/>
              </w:rPr>
              <w:t>核药学原理</w:t>
            </w:r>
            <w:r>
              <w:rPr>
                <w:rFonts w:hint="eastAsia" w:ascii="Times New Roman" w:hAnsi="Times New Roman" w:eastAsia="仿宋_GB2312"/>
                <w:lang w:eastAsia="zh-CN"/>
              </w:rPr>
              <w:t>与研发实例</w:t>
            </w:r>
          </w:p>
        </w:tc>
        <w:tc>
          <w:tcPr>
            <w:tcW w:w="3894"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4012F24B">
            <w:pPr>
              <w:pStyle w:val="4"/>
              <w:widowControl/>
              <w:adjustRightInd w:val="0"/>
              <w:snapToGrid w:val="0"/>
              <w:spacing w:beforeAutospacing="0" w:afterAutospacing="0" w:line="360" w:lineRule="auto"/>
              <w:ind w:firstLine="250"/>
            </w:pPr>
            <w:r>
              <w:rPr>
                <w:rFonts w:hint="eastAsia"/>
                <w:lang w:eastAsia="zh-CN"/>
              </w:rPr>
              <w:t>核药学原理与研发实例课程</w:t>
            </w:r>
            <w:r>
              <w:rPr>
                <w:rFonts w:hint="eastAsia"/>
              </w:rPr>
              <w:t>涵盖放射性药物的制备、质量控制及其在生物医学中的应用。学生将学习核物理基础、放射性测量及防护知识，掌握放射性药物标记、合成与纯化的关键技术。通过实例分析，了解核药物在肿瘤治疗、心血管诊断等领域的最新应用进展。课程注重理论与实践结合，旨在培养学生在核药学领域的科研能力和创新思维，为未来药物研发与临床应用奠定坚实基础。</w:t>
            </w:r>
          </w:p>
        </w:tc>
      </w:tr>
      <w:tr w14:paraId="34FAF7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83" w:hRule="atLeast"/>
          <w:jc w:val="center"/>
        </w:trPr>
        <w:tc>
          <w:tcPr>
            <w:tcW w:w="3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51951473">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4</w:t>
            </w:r>
          </w:p>
        </w:tc>
        <w:tc>
          <w:tcPr>
            <w:tcW w:w="77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155095D4">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核辐射防护与核安全</w:t>
            </w:r>
          </w:p>
        </w:tc>
        <w:tc>
          <w:tcPr>
            <w:tcW w:w="3894"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317EF4E3">
            <w:pPr>
              <w:pStyle w:val="4"/>
              <w:widowControl/>
              <w:adjustRightInd w:val="0"/>
              <w:snapToGrid w:val="0"/>
              <w:spacing w:beforeAutospacing="0" w:afterAutospacing="0" w:line="360" w:lineRule="auto"/>
              <w:ind w:firstLine="250"/>
              <w:rPr>
                <w:rFonts w:ascii="Times New Roman" w:hAnsi="Times New Roman" w:eastAsia="仿宋_GB2312"/>
              </w:rPr>
            </w:pPr>
            <w:r>
              <w:rPr>
                <w:rFonts w:hint="eastAsia"/>
              </w:rPr>
              <w:t>核辐射防护与核安全</w:t>
            </w:r>
            <w:r>
              <w:t>主要研究核辐射防护与核安全技术等方面的基本知识和技能，涉及辐射监测、辐射防护、辐射安全评价、核废料与退役核设施处置、辐射事故应急处理等，在环保、核电安全、核工业</w:t>
            </w:r>
            <w:r>
              <w:rPr>
                <w:rFonts w:hint="eastAsia"/>
              </w:rPr>
              <w:t>、核医学与核药学</w:t>
            </w:r>
            <w:r>
              <w:t>等领域，进行辐射防护和核环境治理工程的研究、设计、开发、管理等</w:t>
            </w:r>
            <w:r>
              <w:rPr>
                <w:rFonts w:hint="eastAsia"/>
              </w:rPr>
              <w:t>，为核药研究和应用做好相应的防护工作</w:t>
            </w:r>
            <w:r>
              <w:t>。</w:t>
            </w:r>
          </w:p>
        </w:tc>
      </w:tr>
      <w:tr w14:paraId="6AB9B3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80" w:hRule="atLeast"/>
          <w:jc w:val="center"/>
        </w:trPr>
        <w:tc>
          <w:tcPr>
            <w:tcW w:w="32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6E1E188D">
            <w:pPr>
              <w:pStyle w:val="4"/>
              <w:widowControl/>
              <w:adjustRightInd w:val="0"/>
              <w:snapToGrid w:val="0"/>
              <w:spacing w:beforeAutospacing="0" w:afterAutospacing="0" w:line="360" w:lineRule="auto"/>
              <w:jc w:val="center"/>
              <w:rPr>
                <w:rFonts w:ascii="Times New Roman" w:hAnsi="Times New Roman" w:eastAsia="仿宋_GB2312"/>
              </w:rPr>
            </w:pPr>
            <w:r>
              <w:rPr>
                <w:rFonts w:ascii="Times New Roman" w:hAnsi="Times New Roman" w:eastAsia="仿宋_GB2312"/>
              </w:rPr>
              <w:t>5</w:t>
            </w:r>
          </w:p>
        </w:tc>
        <w:tc>
          <w:tcPr>
            <w:tcW w:w="778"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5A1469F2">
            <w:pPr>
              <w:pStyle w:val="4"/>
              <w:widowControl/>
              <w:adjustRightInd w:val="0"/>
              <w:snapToGrid w:val="0"/>
              <w:spacing w:beforeAutospacing="0" w:afterAutospacing="0" w:line="360" w:lineRule="auto"/>
              <w:jc w:val="center"/>
              <w:rPr>
                <w:rFonts w:ascii="Times New Roman" w:hAnsi="Times New Roman" w:eastAsia="仿宋_GB2312"/>
              </w:rPr>
            </w:pPr>
            <w:r>
              <w:rPr>
                <w:rFonts w:hint="eastAsia" w:ascii="Times New Roman" w:hAnsi="Times New Roman" w:eastAsia="仿宋_GB2312"/>
              </w:rPr>
              <w:t>活体动物实验</w:t>
            </w:r>
          </w:p>
        </w:tc>
        <w:tc>
          <w:tcPr>
            <w:tcW w:w="3894" w:type="pct"/>
            <w:tcBorders>
              <w:top w:val="nil"/>
              <w:left w:val="single" w:color="auto" w:sz="4" w:space="0"/>
              <w:bottom w:val="single" w:color="auto" w:sz="4" w:space="0"/>
              <w:right w:val="single" w:color="auto" w:sz="4" w:space="0"/>
            </w:tcBorders>
            <w:shd w:val="clear" w:color="auto" w:fill="auto"/>
            <w:tcMar>
              <w:left w:w="70" w:type="dxa"/>
              <w:right w:w="70" w:type="dxa"/>
            </w:tcMar>
            <w:vAlign w:val="center"/>
          </w:tcPr>
          <w:p w14:paraId="14583110">
            <w:pPr>
              <w:pStyle w:val="4"/>
              <w:widowControl/>
              <w:adjustRightInd w:val="0"/>
              <w:snapToGrid w:val="0"/>
              <w:spacing w:beforeAutospacing="0" w:afterAutospacing="0" w:line="360" w:lineRule="auto"/>
              <w:ind w:firstLine="250"/>
              <w:rPr>
                <w:rFonts w:hint="eastAsia" w:ascii="Times New Roman" w:hAnsi="Times New Roman" w:eastAsia="仿宋_GB2312"/>
              </w:rPr>
            </w:pPr>
            <w:r>
              <w:rPr>
                <w:rFonts w:hint="eastAsia"/>
              </w:rPr>
              <w:t>本课程专注于核药在活体动物中的静脉注射实验技术，旨在培养学生掌握核药物在动物模型中的给药方法及其实验操作技能。课程涵盖不同种类动物（如大鼠、小鼠、家兔、犬等）的静脉解剖特点、注射部位选择与准备、注射技巧与注意事项等。学生将学习如何安全、准确地进行静脉注射，观察并记录药物在动物体内的反应及药效评估。通过实践操作与理论学习相结合，本课程致力于提升学生的科研素养和实验技能，为核药物研发及临床应用提供坚实基础。</w:t>
            </w:r>
          </w:p>
        </w:tc>
      </w:tr>
    </w:tbl>
    <w:p w14:paraId="142AF28E">
      <w:pPr>
        <w:pStyle w:val="4"/>
        <w:widowControl/>
        <w:adjustRightInd w:val="0"/>
        <w:snapToGrid w:val="0"/>
        <w:spacing w:before="300" w:beforeAutospacing="0" w:after="300" w:afterAutospacing="0" w:line="360" w:lineRule="auto"/>
        <w:rPr>
          <w:rFonts w:ascii="Times New Roman" w:hAnsi="Times New Roman" w:eastAsia="仿宋_GB2312"/>
        </w:rPr>
      </w:pPr>
    </w:p>
    <w:p w14:paraId="562B8B1C">
      <w:pPr>
        <w:adjustRightInd w:val="0"/>
        <w:snapToGrid w:val="0"/>
        <w:spacing w:line="360" w:lineRule="auto"/>
        <w:rPr>
          <w:rFonts w:ascii="Times New Roman" w:hAnsi="Times New Roman" w:eastAsia="仿宋_GB2312" w:cs="Times New Roman"/>
          <w:sz w:val="24"/>
        </w:rPr>
      </w:pPr>
    </w:p>
    <w:sectPr>
      <w:pgSz w:w="11906" w:h="16838"/>
      <w:pgMar w:top="2098" w:right="1304" w:bottom="1871"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7028FA6-EC34-42A7-BA1D-6DBE2268C2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C157B5A8-5264-42F6-8AE4-08C52F8C41D2}"/>
  </w:font>
  <w:font w:name="仿宋">
    <w:panose1 w:val="02010609060101010101"/>
    <w:charset w:val="86"/>
    <w:family w:val="modern"/>
    <w:pitch w:val="default"/>
    <w:sig w:usb0="800002BF" w:usb1="38CF7CFA" w:usb2="00000016" w:usb3="00000000" w:csb0="00040001" w:csb1="00000000"/>
    <w:embedRegular r:id="rId3" w:fontKey="{E5E47BD9-7B39-41F0-A640-F65F2C2FD666}"/>
  </w:font>
  <w:font w:name="仿宋_GB2312">
    <w:altName w:val="仿宋"/>
    <w:panose1 w:val="00000000000000000000"/>
    <w:charset w:val="86"/>
    <w:family w:val="auto"/>
    <w:pitch w:val="default"/>
    <w:sig w:usb0="00000000" w:usb1="00000000" w:usb2="00000000" w:usb3="00000000" w:csb0="00040000" w:csb1="00000000"/>
    <w:embedRegular r:id="rId4" w:fontKey="{4A761D34-8737-4609-82AC-B6E4F127AB6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3B87E6"/>
    <w:multiLevelType w:val="singleLevel"/>
    <w:tmpl w:val="F13B87E6"/>
    <w:lvl w:ilvl="0" w:tentative="0">
      <w:start w:val="3"/>
      <w:numFmt w:val="chineseCounting"/>
      <w:suff w:val="nothing"/>
      <w:lvlText w:val="%1、"/>
      <w:lvlJc w:val="left"/>
      <w:rPr>
        <w:rFonts w:hint="eastAsia"/>
      </w:rPr>
    </w:lvl>
  </w:abstractNum>
  <w:abstractNum w:abstractNumId="1">
    <w:nsid w:val="453D822F"/>
    <w:multiLevelType w:val="singleLevel"/>
    <w:tmpl w:val="453D822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wYzY3ODBjMWExNTEzOWFhOGU2MWFkM2Y3MDdiMjUifQ=="/>
  </w:docVars>
  <w:rsids>
    <w:rsidRoot w:val="161A194B"/>
    <w:rsid w:val="000260E6"/>
    <w:rsid w:val="0003606C"/>
    <w:rsid w:val="000B2DFE"/>
    <w:rsid w:val="00135733"/>
    <w:rsid w:val="0015563F"/>
    <w:rsid w:val="0020073B"/>
    <w:rsid w:val="002079E6"/>
    <w:rsid w:val="00231120"/>
    <w:rsid w:val="00277B88"/>
    <w:rsid w:val="002F5849"/>
    <w:rsid w:val="00336027"/>
    <w:rsid w:val="00391A9F"/>
    <w:rsid w:val="003D51B1"/>
    <w:rsid w:val="00415104"/>
    <w:rsid w:val="00425465"/>
    <w:rsid w:val="00431949"/>
    <w:rsid w:val="00474AD9"/>
    <w:rsid w:val="00482D0B"/>
    <w:rsid w:val="0048522D"/>
    <w:rsid w:val="004C5690"/>
    <w:rsid w:val="004C7BA8"/>
    <w:rsid w:val="005A0E00"/>
    <w:rsid w:val="005D15AB"/>
    <w:rsid w:val="006224C2"/>
    <w:rsid w:val="00673976"/>
    <w:rsid w:val="006F3EA4"/>
    <w:rsid w:val="00704FD9"/>
    <w:rsid w:val="007A757F"/>
    <w:rsid w:val="007E315B"/>
    <w:rsid w:val="0086210B"/>
    <w:rsid w:val="008D2F1B"/>
    <w:rsid w:val="0093628A"/>
    <w:rsid w:val="00A11CEC"/>
    <w:rsid w:val="00A13C05"/>
    <w:rsid w:val="00A80282"/>
    <w:rsid w:val="00AB1151"/>
    <w:rsid w:val="00AD5A19"/>
    <w:rsid w:val="00AE2904"/>
    <w:rsid w:val="00B55ACB"/>
    <w:rsid w:val="00BA2F29"/>
    <w:rsid w:val="00BC6142"/>
    <w:rsid w:val="00BD33B2"/>
    <w:rsid w:val="00CF5D8B"/>
    <w:rsid w:val="00D34D76"/>
    <w:rsid w:val="00D6564E"/>
    <w:rsid w:val="00E15367"/>
    <w:rsid w:val="00E17AD5"/>
    <w:rsid w:val="00E2693D"/>
    <w:rsid w:val="00E31BC9"/>
    <w:rsid w:val="00EE1102"/>
    <w:rsid w:val="05AF1637"/>
    <w:rsid w:val="079D186D"/>
    <w:rsid w:val="10DD590B"/>
    <w:rsid w:val="161A194B"/>
    <w:rsid w:val="44CF2170"/>
    <w:rsid w:val="48A16DBA"/>
    <w:rsid w:val="52A06270"/>
    <w:rsid w:val="52F37569"/>
    <w:rsid w:val="6FF26BA9"/>
    <w:rsid w:val="7A9A0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2070</Words>
  <Characters>2086</Characters>
  <Lines>13</Lines>
  <Paragraphs>3</Paragraphs>
  <TotalTime>221</TotalTime>
  <ScaleCrop>false</ScaleCrop>
  <LinksUpToDate>false</LinksUpToDate>
  <CharactersWithSpaces>2086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2024-07-13T07:32:00Z</dcterms:created>
  <dc:creator>zwf</dc:creator>
  <cp:lastModifiedBy>孙薇</cp:lastModifiedBy>
  <dcterms:modified xsi:type="dcterms:W3CDTF">2024-09-18T07:34:54Z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B0F35D8136A34FBF913E01A62A24D42D_11</vt:lpwstr>
  </property>
</Properties>
</file>