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330" w:lineRule="atLeast"/>
        <w:ind w:left="0" w:right="0"/>
        <w:jc w:val="center"/>
      </w:pPr>
      <w:r>
        <w:rPr>
          <w:rStyle w:val="6"/>
          <w:rFonts w:hint="eastAsia" w:ascii="长城小标宋体" w:hAnsi="长城小标宋体" w:eastAsia="长城小标宋体" w:cs="长城小标宋体"/>
          <w:color w:val="414141"/>
          <w:sz w:val="36"/>
          <w:szCs w:val="36"/>
          <w:lang w:eastAsia="zh-CN"/>
        </w:rPr>
        <w:t>关于校际学分认定和转换试点工作及</w:t>
      </w:r>
      <w:r>
        <w:rPr>
          <w:rStyle w:val="6"/>
          <w:rFonts w:hint="eastAsia" w:ascii="长城小标宋体" w:hAnsi="长城小标宋体" w:eastAsia="长城小标宋体" w:cs="长城小标宋体"/>
          <w:color w:val="414141"/>
          <w:sz w:val="36"/>
          <w:szCs w:val="36"/>
          <w:lang w:val="en-US" w:eastAsia="zh-CN"/>
        </w:rPr>
        <w:t>2019-2020学年第二学期跨校课程选课的通知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Fonts w:ascii="仿宋" w:hAnsi="仿宋" w:eastAsia="仿宋" w:cs="仿宋"/>
          <w:color w:val="666666"/>
          <w:sz w:val="28"/>
          <w:szCs w:val="28"/>
        </w:rPr>
        <w:t>各教学单位：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 w:firstLine="555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为贯彻中共中央办公厅、国务院办公厅《关于深化教育体制机制改革的意见》，落实教育部《关于推进高等教育学分认定和转换工作的意见》，深化人才培养机制改革，提升人才培养质量，我省从2017年9月至2020年12月开展普通高校校际学分认定和转换试点工作。根据《江西省普通高等学校校际学分认定和转换试点工作方案》，我校与南昌大学、江西师范大学、江西农业大学、江西财经大学、东华理工大学、南昌航空大学、华东交通大学、南昌工程学院等9所院校归属南昌片区，并进行片区范围内的跨校课程选修工作。现将我校校际学分认定和转换试点工作及2019-2020学年第</w:t>
      </w:r>
      <w:r>
        <w:rPr>
          <w:rFonts w:hint="eastAsia" w:ascii="仿宋" w:hAnsi="仿宋" w:eastAsia="仿宋" w:cs="仿宋"/>
          <w:color w:val="666666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color w:val="666666"/>
          <w:sz w:val="28"/>
          <w:szCs w:val="28"/>
        </w:rPr>
        <w:t>学期跨校课程选课相关事宜通知如下：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Style w:val="6"/>
          <w:rFonts w:hint="eastAsia" w:ascii="仿宋" w:hAnsi="仿宋" w:eastAsia="仿宋" w:cs="仿宋"/>
          <w:color w:val="666666"/>
          <w:spacing w:val="0"/>
          <w:sz w:val="28"/>
          <w:szCs w:val="28"/>
          <w:shd w:val="clear" w:fill="FFFFFF"/>
        </w:rPr>
        <w:t>　　</w:t>
      </w:r>
      <w:r>
        <w:rPr>
          <w:rStyle w:val="6"/>
          <w:rFonts w:hint="eastAsia" w:ascii="仿宋" w:hAnsi="仿宋" w:eastAsia="仿宋" w:cs="仿宋"/>
          <w:color w:val="666666"/>
          <w:sz w:val="28"/>
          <w:szCs w:val="28"/>
        </w:rPr>
        <w:t>一、学生选课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 w:firstLine="555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各教学单位要充分认识校际学分认定与转换工作的重大意义，结合学生专业培养方案，组织学生登录“江西省普通高校学分互认管理平台”，做好跨校课程的网上选修工作。具体操作步骤请参看附件一（学生选课指导手册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　　1、选课对象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    2017、2018级本科学生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　　2、选课途径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 w:firstLine="555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 xml:space="preserve">（1）登录页面打开方式一 直接浏览器地址栏输入江西省普通高校学分互认管理平台-学生选课系统的网址： http://kxxk.jxedu.gov.cn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 w:firstLine="555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（2）登录页面打开方式二 打开教育厅主页：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http://lla.jxedu.gov.cn/; 登录后 点击：学分互认平台。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　　进入“江西省教育终身学习账号服务系统”页面，登录本人账号进入“普通高校学分互认管理平台”—“学生选课系统”进行网上选课。未注册的学生应先在该系统进行注册，获得“终身学习账号”。注册方法和选课流程可参阅《江西省普通高校学分互认管理平台—学生选课指导手册》。学生登录选课系统后，可在线查看可选课程、课程大纲、教学计划、教师介绍等内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　　3、选课时间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　　2019年</w:t>
      </w:r>
      <w:r>
        <w:rPr>
          <w:rFonts w:hint="eastAsia" w:ascii="仿宋" w:hAnsi="仿宋" w:eastAsia="仿宋" w:cs="仿宋"/>
          <w:color w:val="666666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color w:val="666666"/>
          <w:sz w:val="28"/>
          <w:szCs w:val="28"/>
        </w:rPr>
        <w:t>月</w:t>
      </w:r>
      <w:r>
        <w:rPr>
          <w:rFonts w:hint="eastAsia" w:ascii="仿宋" w:hAnsi="仿宋" w:eastAsia="仿宋" w:cs="仿宋"/>
          <w:color w:val="666666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color w:val="666666"/>
          <w:sz w:val="28"/>
          <w:szCs w:val="28"/>
        </w:rPr>
        <w:t>日起至20</w:t>
      </w:r>
      <w:r>
        <w:rPr>
          <w:rFonts w:hint="eastAsia" w:ascii="仿宋" w:hAnsi="仿宋" w:eastAsia="仿宋" w:cs="仿宋"/>
          <w:color w:val="666666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color w:val="666666"/>
          <w:sz w:val="28"/>
          <w:szCs w:val="28"/>
        </w:rPr>
        <w:t>年</w:t>
      </w:r>
      <w:r>
        <w:rPr>
          <w:rFonts w:hint="eastAsia" w:ascii="仿宋" w:hAnsi="仿宋" w:eastAsia="仿宋" w:cs="仿宋"/>
          <w:color w:val="666666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666666"/>
          <w:sz w:val="28"/>
          <w:szCs w:val="28"/>
        </w:rPr>
        <w:t>月</w:t>
      </w:r>
      <w:r>
        <w:rPr>
          <w:rFonts w:hint="eastAsia" w:ascii="仿宋" w:hAnsi="仿宋" w:eastAsia="仿宋" w:cs="仿宋"/>
          <w:color w:val="666666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 w:cs="仿宋"/>
          <w:color w:val="666666"/>
          <w:sz w:val="28"/>
          <w:szCs w:val="28"/>
        </w:rPr>
        <w:t>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Style w:val="6"/>
          <w:rFonts w:hint="eastAsia" w:ascii="仿宋" w:hAnsi="仿宋" w:eastAsia="仿宋" w:cs="仿宋"/>
          <w:color w:val="666666"/>
          <w:sz w:val="28"/>
          <w:szCs w:val="28"/>
        </w:rPr>
        <w:t>　　二、学分认定与转换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　　1、对学生所取得的校际通识课程学分，原则上认定为我校公共</w:t>
      </w:r>
      <w:r>
        <w:rPr>
          <w:rFonts w:hint="eastAsia" w:ascii="仿宋" w:hAnsi="仿宋" w:eastAsia="仿宋" w:cs="仿宋"/>
          <w:color w:val="666666"/>
          <w:sz w:val="28"/>
          <w:szCs w:val="28"/>
          <w:highlight w:val="yellow"/>
        </w:rPr>
        <w:t>任选课</w:t>
      </w:r>
      <w:r>
        <w:rPr>
          <w:rFonts w:hint="eastAsia" w:ascii="仿宋" w:hAnsi="仿宋" w:eastAsia="仿宋" w:cs="仿宋"/>
          <w:color w:val="666666"/>
          <w:sz w:val="28"/>
          <w:szCs w:val="28"/>
        </w:rPr>
        <w:t>学分；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　　2、对学生修读且考核合格的校际非通识类课程，若与学生本专业培养方案中的课程名称相同或相近、课程内容相似率达到80%以上，且学分达到对应课程学分，经学院审核同意后可认定和转换为我校相应课程学分，超出的学分不计，成绩以课程考核成绩计；如不能满足以上条件，则可认定和转换为我校公共任选课学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Style w:val="6"/>
          <w:rFonts w:hint="eastAsia" w:ascii="仿宋" w:hAnsi="仿宋" w:eastAsia="仿宋" w:cs="仿宋"/>
          <w:color w:val="666666"/>
          <w:sz w:val="28"/>
          <w:szCs w:val="28"/>
        </w:rPr>
        <w:t>　　三、其他有关事项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　　1、为了保证选课操作的流畅性，请使用 IE8 及以上版本、Chorme（谷歌）、Firefox（火狐）等浏览器，不建议使用 IE6、IE7 等老版本浏览器。学生选课后，请再次登录系统确认选课是否成功；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　　2、选修跨校课程的学生，应根据开课高校的要求，办理相关听课手续；并按照要求参加该课程的所有教学活动；遵守开课高校的规章制度，自觉接受管理，保护自身安全。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                                          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  <w:jc w:val="right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教务处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150" w:afterAutospacing="0" w:line="705" w:lineRule="atLeast"/>
        <w:ind w:left="0" w:right="0"/>
        <w:jc w:val="right"/>
      </w:pPr>
      <w:r>
        <w:rPr>
          <w:rFonts w:hint="eastAsia" w:ascii="仿宋" w:hAnsi="仿宋" w:eastAsia="仿宋" w:cs="仿宋"/>
          <w:color w:val="666666"/>
          <w:sz w:val="28"/>
          <w:szCs w:val="28"/>
        </w:rPr>
        <w:t>2019年</w:t>
      </w:r>
      <w:r>
        <w:rPr>
          <w:rFonts w:hint="eastAsia" w:ascii="仿宋" w:hAnsi="仿宋" w:eastAsia="仿宋" w:cs="仿宋"/>
          <w:color w:val="666666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color w:val="666666"/>
          <w:sz w:val="28"/>
          <w:szCs w:val="28"/>
        </w:rPr>
        <w:t>月</w:t>
      </w:r>
      <w:r>
        <w:rPr>
          <w:rFonts w:hint="eastAsia" w:ascii="仿宋" w:hAnsi="仿宋" w:eastAsia="仿宋" w:cs="仿宋"/>
          <w:color w:val="666666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color w:val="666666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长城小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96E45"/>
    <w:rsid w:val="20FA252A"/>
    <w:rsid w:val="373D0816"/>
    <w:rsid w:val="6D496E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uiPriority w:val="0"/>
    <w:rPr>
      <w:color w:val="666666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TML Definition"/>
    <w:basedOn w:val="5"/>
    <w:uiPriority w:val="0"/>
    <w:rPr>
      <w:i/>
    </w:rPr>
  </w:style>
  <w:style w:type="character" w:styleId="10">
    <w:name w:val="HTML Typewriter"/>
    <w:basedOn w:val="5"/>
    <w:qFormat/>
    <w:uiPriority w:val="0"/>
    <w:rPr>
      <w:rFonts w:hint="default" w:ascii="monospace" w:hAnsi="monospace" w:eastAsia="monospace" w:cs="monospace"/>
      <w:sz w:val="20"/>
    </w:rPr>
  </w:style>
  <w:style w:type="character" w:styleId="11">
    <w:name w:val="HTML Acronym"/>
    <w:basedOn w:val="5"/>
    <w:qFormat/>
    <w:uiPriority w:val="0"/>
  </w:style>
  <w:style w:type="character" w:styleId="12">
    <w:name w:val="HTML Variable"/>
    <w:basedOn w:val="5"/>
    <w:qFormat/>
    <w:uiPriority w:val="0"/>
    <w:rPr>
      <w:i/>
    </w:rPr>
  </w:style>
  <w:style w:type="character" w:styleId="13">
    <w:name w:val="Hyperlink"/>
    <w:basedOn w:val="5"/>
    <w:qFormat/>
    <w:uiPriority w:val="0"/>
    <w:rPr>
      <w:color w:val="666666"/>
      <w:u w:val="none"/>
    </w:rPr>
  </w:style>
  <w:style w:type="character" w:styleId="14">
    <w:name w:val="HTML Code"/>
    <w:basedOn w:val="5"/>
    <w:qFormat/>
    <w:uiPriority w:val="0"/>
    <w:rPr>
      <w:rFonts w:hint="default" w:ascii="monospace" w:hAnsi="monospace" w:eastAsia="monospace" w:cs="monospace"/>
      <w:sz w:val="20"/>
    </w:rPr>
  </w:style>
  <w:style w:type="character" w:styleId="15">
    <w:name w:val="HTML Cite"/>
    <w:basedOn w:val="5"/>
    <w:uiPriority w:val="0"/>
    <w:rPr>
      <w:i/>
    </w:rPr>
  </w:style>
  <w:style w:type="character" w:styleId="16">
    <w:name w:val="HTML Keyboard"/>
    <w:basedOn w:val="5"/>
    <w:qFormat/>
    <w:uiPriority w:val="0"/>
    <w:rPr>
      <w:rFonts w:hint="default" w:ascii="monospace" w:hAnsi="monospace" w:eastAsia="monospace" w:cs="monospace"/>
      <w:sz w:val="20"/>
    </w:rPr>
  </w:style>
  <w:style w:type="character" w:styleId="17">
    <w:name w:val="HTML Sample"/>
    <w:basedOn w:val="5"/>
    <w:uiPriority w:val="0"/>
    <w:rPr>
      <w:rFonts w:ascii="monospace" w:hAnsi="monospace" w:eastAsia="monospace" w:cs="monospac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295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2019-12-18T02:33:00Z</dcterms:created>
  <dc:creator>zhangdd</dc:creator>
  <cp:lastModifiedBy>zhangdd</cp:lastModifiedBy>
  <dcterms:modified xsi:type="dcterms:W3CDTF">2019-12-23T01:43:30Z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